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eastAsia="黑体" w:cs="Times New Roman"/>
          <w:sz w:val="32"/>
          <w:szCs w:val="32"/>
          <w:lang w:val="en-US" w:eastAsia="zh-CN"/>
        </w:rPr>
        <w:t>附件1</w:t>
      </w:r>
    </w:p>
    <w:p>
      <w:pPr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202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年度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>洞口县市场监督管理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  <w:t>局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整体支出绩效自评报告</w:t>
      </w:r>
    </w:p>
    <w:p>
      <w:pPr>
        <w:jc w:val="center"/>
        <w:rPr>
          <w:rFonts w:ascii="Times New Roman" w:hAnsi="Times New Roman" w:eastAsia="方正小标宋_GBK" w:cs="Times New Roman"/>
          <w:b/>
          <w:sz w:val="52"/>
          <w:szCs w:val="52"/>
        </w:rPr>
      </w:pPr>
    </w:p>
    <w:p>
      <w:pPr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ind w:firstLine="2400" w:firstLineChars="600"/>
        <w:jc w:val="both"/>
        <w:rPr>
          <w:rFonts w:hint="eastAsia" w:ascii="仿宋" w:hAnsi="仿宋" w:eastAsia="仿宋" w:cs="仿宋"/>
          <w:sz w:val="40"/>
          <w:szCs w:val="40"/>
          <w:u w:val="single"/>
          <w:lang w:eastAsia="zh-CN"/>
        </w:rPr>
      </w:pPr>
      <w:r>
        <w:rPr>
          <w:rFonts w:hint="eastAsia" w:ascii="仿宋" w:hAnsi="仿宋" w:eastAsia="仿宋" w:cs="仿宋"/>
          <w:sz w:val="40"/>
          <w:szCs w:val="40"/>
        </w:rPr>
        <w:t>单位名称：</w:t>
      </w:r>
      <w:r>
        <w:rPr>
          <w:rFonts w:hint="eastAsia" w:ascii="仿宋" w:hAnsi="仿宋" w:eastAsia="仿宋" w:cs="仿宋"/>
          <w:sz w:val="40"/>
          <w:szCs w:val="40"/>
          <w:u w:val="single"/>
          <w:lang w:val="en-US" w:eastAsia="zh-CN"/>
        </w:rPr>
        <w:t>洞口</w:t>
      </w:r>
      <w:r>
        <w:rPr>
          <w:rFonts w:hint="eastAsia" w:ascii="仿宋" w:hAnsi="仿宋" w:eastAsia="仿宋" w:cs="仿宋"/>
          <w:sz w:val="40"/>
          <w:szCs w:val="40"/>
          <w:u w:val="single"/>
          <w:lang w:val="en-US" w:eastAsia="zh-CN"/>
        </w:rPr>
        <w:t>县市场监督管理</w:t>
      </w:r>
      <w:r>
        <w:rPr>
          <w:rFonts w:hint="eastAsia" w:ascii="仿宋" w:hAnsi="仿宋" w:eastAsia="仿宋" w:cs="仿宋"/>
          <w:sz w:val="40"/>
          <w:szCs w:val="40"/>
          <w:u w:val="single"/>
          <w:lang w:eastAsia="zh-CN"/>
        </w:rPr>
        <w:t>局</w:t>
      </w:r>
    </w:p>
    <w:p>
      <w:pPr>
        <w:spacing w:line="600" w:lineRule="exact"/>
        <w:ind w:firstLine="2800" w:firstLineChars="700"/>
        <w:jc w:val="both"/>
        <w:rPr>
          <w:rFonts w:hint="eastAsia" w:ascii="仿宋" w:hAnsi="仿宋" w:eastAsia="仿宋" w:cs="仿宋"/>
          <w:sz w:val="40"/>
          <w:szCs w:val="40"/>
        </w:rPr>
      </w:pPr>
      <w:r>
        <w:rPr>
          <w:rFonts w:hint="eastAsia" w:ascii="仿宋" w:hAnsi="仿宋" w:eastAsia="仿宋" w:cs="仿宋"/>
          <w:sz w:val="40"/>
          <w:szCs w:val="40"/>
          <w:lang w:val="en-US" w:eastAsia="zh-CN"/>
        </w:rPr>
        <w:t>2023</w:t>
      </w:r>
      <w:r>
        <w:rPr>
          <w:rFonts w:hint="eastAsia" w:ascii="仿宋" w:hAnsi="仿宋" w:eastAsia="仿宋" w:cs="仿宋"/>
          <w:sz w:val="40"/>
          <w:szCs w:val="40"/>
        </w:rPr>
        <w:t>年</w:t>
      </w:r>
      <w:r>
        <w:rPr>
          <w:rFonts w:hint="eastAsia" w:ascii="仿宋" w:hAnsi="仿宋" w:eastAsia="仿宋" w:cs="仿宋"/>
          <w:sz w:val="40"/>
          <w:szCs w:val="40"/>
          <w:lang w:val="en-US" w:eastAsia="zh-CN"/>
        </w:rPr>
        <w:t xml:space="preserve">  4</w:t>
      </w:r>
      <w:r>
        <w:rPr>
          <w:rFonts w:hint="eastAsia" w:ascii="仿宋" w:hAnsi="仿宋" w:eastAsia="仿宋" w:cs="仿宋"/>
          <w:sz w:val="40"/>
          <w:szCs w:val="40"/>
        </w:rPr>
        <w:t>月</w:t>
      </w:r>
      <w:r>
        <w:rPr>
          <w:rFonts w:hint="eastAsia" w:ascii="仿宋" w:hAnsi="仿宋" w:eastAsia="仿宋" w:cs="仿宋"/>
          <w:sz w:val="40"/>
          <w:szCs w:val="40"/>
          <w:lang w:val="en-US" w:eastAsia="zh-CN"/>
        </w:rPr>
        <w:t xml:space="preserve"> 18 </w:t>
      </w:r>
      <w:r>
        <w:rPr>
          <w:rFonts w:hint="eastAsia" w:ascii="仿宋" w:hAnsi="仿宋" w:eastAsia="仿宋" w:cs="仿宋"/>
          <w:sz w:val="40"/>
          <w:szCs w:val="40"/>
        </w:rPr>
        <w:t>日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方正小标宋_GBK" w:cs="Times New Roman"/>
          <w:sz w:val="44"/>
          <w:szCs w:val="44"/>
          <w:lang w:eastAsia="zh-CN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2</w:t>
      </w:r>
      <w:r>
        <w:rPr>
          <w:rFonts w:ascii="Times New Roman" w:hAnsi="Times New Roman" w:eastAsia="方正小标宋_GBK" w:cs="Times New Roman"/>
          <w:sz w:val="44"/>
          <w:szCs w:val="44"/>
        </w:rPr>
        <w:t>年度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洞口</w:t>
      </w:r>
      <w:r>
        <w:rPr>
          <w:rFonts w:hint="eastAsia" w:eastAsia="方正小标宋_GBK" w:cs="Times New Roman"/>
          <w:sz w:val="44"/>
          <w:szCs w:val="44"/>
          <w:lang w:val="en-US" w:eastAsia="zh-CN"/>
        </w:rPr>
        <w:t>县市场监督管理</w:t>
      </w:r>
      <w:r>
        <w:rPr>
          <w:rFonts w:hint="eastAsia" w:eastAsia="方正小标宋_GBK" w:cs="Times New Roman"/>
          <w:sz w:val="44"/>
          <w:szCs w:val="44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整体支出绩效自评报告</w:t>
      </w: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一、部门</w:t>
      </w:r>
      <w:r>
        <w:rPr>
          <w:rFonts w:hint="eastAsia" w:eastAsia="黑体" w:cs="Times New Roman"/>
          <w:sz w:val="32"/>
          <w:szCs w:val="32"/>
          <w:lang w:eastAsia="zh-CN"/>
        </w:rPr>
        <w:t>（</w:t>
      </w:r>
      <w:r>
        <w:rPr>
          <w:rFonts w:ascii="Times New Roman" w:hAnsi="Times New Roman" w:eastAsia="黑体" w:cs="Times New Roman"/>
          <w:sz w:val="32"/>
          <w:szCs w:val="32"/>
        </w:rPr>
        <w:t>单位）基本情况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sz w:val="30"/>
          <w:szCs w:val="30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（一）机构、人员构成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洞口县市场监督管理局位于洞口县中部的文昌街道桔城路399号。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洞口县市场监督管理局现属行政单位（单位性质），隶属洞口县人民政府管理。现有职工268人，其中在职人员 161人，退休人员 107人。内设办公室；政工股；政策法规股；财务股；登记注册股；信用监督管理股；反垄断和反不正当竞争股；价格监督检查股；网络交易与广告监督管理股；标准质量安全监督管理股；食品生产安全监督管理股；食品经营安全监督管理股；餐饮服务食品安全监督管理股；药品和医疗器械监督管理股；消费者权益保护股；计量认证认可监督管理股；特种设备安全监察股；知识产权保护股；非公经济组织党建指导股等19个股室。下设10个派出机构，分别是城东市场监督管理所；城南市场监督管理所；城北市场监督管理所；高沙市场监督管理所；石江市场监督管理所；山门市场监督管理所；黄桥市场监督管理所；竹市市场监督管理所；江口市场监督管理所；桥头市场监督管理所。下设5个事业机构，分别是市场监管综合行政执法大队，洞口县检验检测中心；信息中心；消费委员会；洞口县个体私营经济发展指导中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单位主要职责</w:t>
      </w:r>
    </w:p>
    <w:p>
      <w:pPr>
        <w:pStyle w:val="7"/>
        <w:widowControl/>
        <w:spacing w:before="0" w:beforeAutospacing="0" w:after="0" w:afterAutospacing="0" w:line="360" w:lineRule="auto"/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1、负责市场综合监督管理。贯彻执行市场监督管理有关法律、法规、规章，组织实施质量强县战略、食品药品安全战略、标准化战略和知识产权战略，拟订并组织实施全县市场监督管理工作规划、规范性文件，规范和维护市场秩序，营造诚实守信、公平竞争的市场环境；</w:t>
      </w:r>
    </w:p>
    <w:p>
      <w:pPr>
        <w:pStyle w:val="7"/>
        <w:widowControl/>
        <w:spacing w:before="0" w:beforeAutospacing="0" w:after="0" w:afterAutospacing="0" w:line="360" w:lineRule="auto"/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2、负责市场主体统一登记注册。指导各类企业（包括授权范围内的外商投资企业）、农民专业合作社和从事经营活动的单位、个体工商户，以及授权范围内的外国（地区）企业常驻代表机构等市场主体的登记注册工作。建立市场主体信息公示和共享机制，依法公示和共享有关信息，加强信用监管，推动市场主体信用体系建设；</w:t>
      </w:r>
    </w:p>
    <w:p>
      <w:pPr>
        <w:pStyle w:val="7"/>
        <w:widowControl/>
        <w:spacing w:before="0" w:beforeAutospacing="0" w:after="0" w:afterAutospacing="0" w:line="360" w:lineRule="auto"/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3、负责组织和指导全县市场监管综合执法工作。负责全县市场监管综合执法队伍整合和建设，推动实行统一的市场监管。组织查处重大违法案件。规范市场监管行政执法行为；</w:t>
      </w:r>
    </w:p>
    <w:p>
      <w:pPr>
        <w:pStyle w:val="7"/>
        <w:widowControl/>
        <w:spacing w:before="0" w:beforeAutospacing="0" w:after="0" w:afterAutospacing="0" w:line="360" w:lineRule="auto"/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4、负责反垄断执法调查工作。推进竞争政策实施，实施公平竞争审查制度，依委托开展垄断协议、滥用市场支配地位和滥用行政权力排除、限制竞争等反垄断执法调查工作；</w:t>
      </w:r>
    </w:p>
    <w:p>
      <w:pPr>
        <w:pStyle w:val="7"/>
        <w:widowControl/>
        <w:spacing w:before="0" w:beforeAutospacing="0" w:after="0" w:afterAutospacing="0" w:line="360" w:lineRule="auto"/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5、负责监督管理市场秩序。依法监督管理市场交易、网络商品交易及有关服务的行为。组织指导查处价格收费违法违规、不正当竞争、违法直销、传销、侵犯商标专利知识产权和制售假冒伪劣行为。指导广告业发展，监督管理广告活动。指导查处无照生产经营和相关无证生产经营行为；</w:t>
      </w:r>
    </w:p>
    <w:p>
      <w:pPr>
        <w:pStyle w:val="7"/>
        <w:widowControl/>
        <w:spacing w:before="0" w:beforeAutospacing="0" w:after="0" w:afterAutospacing="0" w:line="360" w:lineRule="auto"/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6、负责宏观质量管理。贯彻国家质量发展的有关政策，拟订推进质量发展战略的政策措施并组织实施。会同有关部门组织实施重大工程设备质量监理制度，组织对重大产品质量事故调查，实施缺陷产品召回制度；</w:t>
      </w:r>
    </w:p>
    <w:p>
      <w:pPr>
        <w:pStyle w:val="7"/>
        <w:widowControl/>
        <w:spacing w:before="0" w:beforeAutospacing="0" w:after="0" w:afterAutospacing="0" w:line="360" w:lineRule="auto"/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7、负责产品质量安全监督管理。负责产品质量安全风险监控、全县监督抽查等相关工作。落实质量分级制度、质量安全追溯制度。负责工业产品生产许可证管理工作。负责纤维质量监督管理工作；</w:t>
      </w:r>
    </w:p>
    <w:p>
      <w:pPr>
        <w:pStyle w:val="7"/>
        <w:widowControl/>
        <w:spacing w:before="0" w:beforeAutospacing="0" w:after="0" w:afterAutospacing="0" w:line="360" w:lineRule="auto"/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8、负责特种设备的安全监督管理。综合管理特种设备安全监察、监督工作。监督检查高耗能特种设备节能标准和锅炉环境保护标准的执行情况。按规定权限组织调查处理特种设备事故并进行统计分析；</w:t>
      </w:r>
    </w:p>
    <w:p>
      <w:pPr>
        <w:pStyle w:val="7"/>
        <w:widowControl/>
        <w:spacing w:before="0" w:beforeAutospacing="0" w:after="0" w:afterAutospacing="0" w:line="360" w:lineRule="auto"/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9、负责食品安全监督管理综合协调。组织制定食品安全有关规定并组织实施。负责食品安全应急体系建设，组织和指导食品安全事故和突发事件的应急处置和调查处理工作。建立健全食品安全重要信息直报制度。承担县食品安全委员会日常工作；</w:t>
      </w:r>
    </w:p>
    <w:p>
      <w:pPr>
        <w:pStyle w:val="7"/>
        <w:widowControl/>
        <w:spacing w:before="0" w:beforeAutospacing="0" w:after="0" w:afterAutospacing="0" w:line="360" w:lineRule="auto"/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10、负责食品安全监督管理。建立覆盖食品生产、流通、消费全过程的监督检查制度和隐患排查治理机制并组织实施，防范区域性、系统性食品安全风险。推动建立食品生产经营者落实主体责任机制，健全食品安全追溯体系。组织开展食品安全监督抽检、风险监测、核查处置和风险预警、风险交流工作。组织实施特殊食品监督管理。负责食盐专营管理和食盐安全监督管理；</w:t>
      </w:r>
    </w:p>
    <w:p>
      <w:pPr>
        <w:pStyle w:val="7"/>
        <w:widowControl/>
        <w:spacing w:before="0" w:beforeAutospacing="0" w:after="0" w:afterAutospacing="0" w:line="360" w:lineRule="auto"/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11、负责统一管理计量工作。推行国家法定计量单位和国家计量制度；依职责管理计量器具及量值传递和比对工作。负责规范、监督商品量和市场计量行为；</w:t>
      </w:r>
    </w:p>
    <w:p>
      <w:pPr>
        <w:pStyle w:val="7"/>
        <w:widowControl/>
        <w:spacing w:before="0" w:beforeAutospacing="0" w:after="0" w:afterAutospacing="0" w:line="360" w:lineRule="auto"/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12、负责统一管理标准化工作。依法承担地方标准的立项、编号和发布工作，指导开展标准化试点示范工作。依据法定职责，对标准的制定进行指导监督，对标准的实施进行监督检查。推行采用国际标准；</w:t>
      </w:r>
    </w:p>
    <w:p>
      <w:pPr>
        <w:pStyle w:val="7"/>
        <w:widowControl/>
        <w:spacing w:before="0" w:beforeAutospacing="0" w:after="0" w:afterAutospacing="0" w:line="360" w:lineRule="auto"/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13、负责统一管理检验检测和认证认可工作。协调推进检验检测机构改革，规范检验检测市场，完善检验检测体系，指导协调检验检测行业发展。依法对检验检测机构资质资格及其检验活动进行监督管理。依法监督管理认证认可工作；</w:t>
      </w:r>
    </w:p>
    <w:p>
      <w:pPr>
        <w:pStyle w:val="7"/>
        <w:widowControl/>
        <w:spacing w:before="0" w:beforeAutospacing="0" w:after="0" w:afterAutospacing="0" w:line="360" w:lineRule="auto"/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14、负责市场监督管理、知识产权领域科技和信息化建设、新闻宣传、对外交流与合作。按规定承担技术性贸易措施有关工作；</w:t>
      </w:r>
    </w:p>
    <w:p>
      <w:pPr>
        <w:pStyle w:val="7"/>
        <w:widowControl/>
        <w:spacing w:before="0" w:beforeAutospacing="0" w:after="0" w:afterAutospacing="0" w:line="360" w:lineRule="auto"/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15、负责实施知识产权战略，推进知识产权强县建设。制定实施知识产权创造、保护、运用的政策和措施。负责知识产权公共服务体系建设，推动知识产权信息传播利用；</w:t>
      </w:r>
    </w:p>
    <w:p>
      <w:pPr>
        <w:pStyle w:val="7"/>
        <w:widowControl/>
        <w:spacing w:before="0" w:beforeAutospacing="0" w:after="0" w:afterAutospacing="0" w:line="360" w:lineRule="auto"/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16、负责保护知识产权。落实严格保护商标、专利、原产地地理标志等相关工作，负责知识产权保护体系建设，组织指导商标、专利执法工作；</w:t>
      </w:r>
    </w:p>
    <w:p>
      <w:pPr>
        <w:pStyle w:val="7"/>
        <w:widowControl/>
        <w:spacing w:before="0" w:beforeAutospacing="0" w:after="0" w:afterAutospacing="0" w:line="360" w:lineRule="auto"/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17、负责知识产权创造运用。按权限负责商标、专利和原产地地理标志的管理，开展知识产权运营体系建设，指导经济活动知识产权评议，规范知识产权交易和无形资产评估，促进知识产权转移转化；</w:t>
      </w:r>
    </w:p>
    <w:p>
      <w:pPr>
        <w:pStyle w:val="7"/>
        <w:widowControl/>
        <w:spacing w:before="0" w:beforeAutospacing="0" w:after="0" w:afterAutospacing="0" w:line="360" w:lineRule="auto"/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18、负责组织开展有关服务领域消费维权工作，查处制售假冒伪劣等违法行为，指导消费者咨询、申诉、举报受理、处理和网络体系建设等工作，保护经营者、消费者合法权益；</w:t>
      </w:r>
    </w:p>
    <w:p>
      <w:pPr>
        <w:pStyle w:val="7"/>
        <w:widowControl/>
        <w:spacing w:before="0" w:beforeAutospacing="0" w:after="0" w:afterAutospacing="0" w:line="360" w:lineRule="auto"/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19、负责权限内药品、医疗器械、化妆品行政许可备案；负责药品、医疗器械、保健食品广告内容的监测；</w:t>
      </w:r>
    </w:p>
    <w:p>
      <w:pPr>
        <w:pStyle w:val="7"/>
        <w:widowControl/>
        <w:spacing w:before="0" w:beforeAutospacing="0" w:after="0" w:afterAutospacing="0" w:line="360" w:lineRule="auto"/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20、负责药品（含中药、民族药，下同）、医疗器械和化妆品安全监督管理。贯彻执行国家药品、医疗器械和化妆品监督管理法律、法规、规章，拟订政策规划并监督实施。研究拟订鼓励药品、医疗器械和化妆品新技术新产品的管理与服务政策；</w:t>
      </w:r>
    </w:p>
    <w:p>
      <w:pPr>
        <w:pStyle w:val="7"/>
        <w:widowControl/>
        <w:spacing w:before="0" w:beforeAutospacing="0" w:after="0" w:afterAutospacing="0" w:line="360" w:lineRule="auto"/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21、负责职责范围内的药品、医疗器械和化妆品标准管理。监督实施药品、医疗器械、化妆品标准和分类管理制度；配合有关部门实施国家基本药物制度；</w:t>
      </w:r>
    </w:p>
    <w:p>
      <w:pPr>
        <w:pStyle w:val="7"/>
        <w:widowControl/>
        <w:spacing w:before="0" w:beforeAutospacing="0" w:after="0" w:afterAutospacing="0" w:line="360" w:lineRule="auto"/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22、负责药品、医疗器械和化妆品质量管理。依规定监督实施药品生产、经营质量管理规范，监督实施医疗器械生产、经营质量管理规范，监督实施化妆品生产卫生标准和技术规范；</w:t>
      </w:r>
    </w:p>
    <w:p>
      <w:pPr>
        <w:pStyle w:val="7"/>
        <w:widowControl/>
        <w:spacing w:before="0" w:beforeAutospacing="0" w:after="0" w:afterAutospacing="0" w:line="360" w:lineRule="auto"/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23、负责药品、医疗器械和化妆品上市后风险管理。组织开展药品不良反应、医疗器械不良事件和化妆品不良反应的监测、评价和处置工作。依法承担药品、医疗器械和化妆品安全应急管理工作；</w:t>
      </w:r>
    </w:p>
    <w:p>
      <w:pPr>
        <w:pStyle w:val="7"/>
        <w:widowControl/>
        <w:spacing w:before="0" w:beforeAutospacing="0" w:after="0" w:afterAutospacing="0" w:line="360" w:lineRule="auto"/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24、负责组织实施药品、医疗器械和化妆品监督检查。依规定依法查处药品、医疗器械和化妆品经营、生产、使用以及互联网销售第三方平台违法行为；</w:t>
      </w:r>
    </w:p>
    <w:p>
      <w:pPr>
        <w:pStyle w:val="7"/>
        <w:widowControl/>
        <w:spacing w:before="0" w:beforeAutospacing="0" w:after="0" w:afterAutospacing="0" w:line="360" w:lineRule="auto"/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25、负责职责范围内有关行业、领域安全生产监督管理工作；</w:t>
      </w:r>
    </w:p>
    <w:p>
      <w:pPr>
        <w:pStyle w:val="7"/>
        <w:widowControl/>
        <w:spacing w:before="0" w:beforeAutospacing="0" w:after="0" w:afterAutospacing="0" w:line="360" w:lineRule="auto"/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26、承办县委、县政府交办的其他任务。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二、一般公共预算支出情况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洞口县市场监督管理局本级及二级单位</w:t>
      </w:r>
      <w:r>
        <w:rPr>
          <w:rFonts w:hint="eastAsia" w:cs="Times New Roman"/>
          <w:color w:val="auto"/>
          <w:kern w:val="0"/>
          <w:sz w:val="32"/>
          <w:szCs w:val="32"/>
          <w:lang w:val="en-US" w:eastAsia="zh-CN"/>
        </w:rPr>
        <w:t>2022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年度一般公共预算财政拨款年初结转和结余0万元，本年收入3440.88万元，本年支出3440.88万元，年末结转和结余0万元。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eastAsia="楷体_GB2312" w:cs="Times New Roman"/>
          <w:b w:val="0"/>
          <w:bCs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  <w:t>基本支出情况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洞口县市场监督管理局本级及二级单位</w:t>
      </w:r>
      <w:r>
        <w:rPr>
          <w:rFonts w:hint="eastAsia" w:cs="Times New Roman"/>
          <w:color w:val="auto"/>
          <w:kern w:val="0"/>
          <w:sz w:val="32"/>
          <w:szCs w:val="32"/>
          <w:lang w:val="en-US" w:eastAsia="zh-CN"/>
        </w:rPr>
        <w:t>2022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年度一般公共预算财政拨款基本支出年初结转和结余0万元，本年收入2976.21万元，本年支出2976.21万元，年末结转和结余0万元。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  <w:t>（二）项目支出情况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洞口县市场监督管理局本级及二级单位</w:t>
      </w:r>
      <w:r>
        <w:rPr>
          <w:rFonts w:hint="eastAsia" w:cs="Times New Roman"/>
          <w:color w:val="auto"/>
          <w:kern w:val="0"/>
          <w:sz w:val="32"/>
          <w:szCs w:val="32"/>
          <w:lang w:val="en-US" w:eastAsia="zh-CN"/>
        </w:rPr>
        <w:t>2022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年度一般公共预算财政拨款项目支出年初结转和结余0万元，本年收入464.67万元，本年支出464.67万元，年末结转和结余0万元。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三、政府性基金预算支出情况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" w:hAnsi="仿宋" w:eastAsia="仿宋" w:cs="仿宋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无</w:t>
      </w:r>
    </w:p>
    <w:p>
      <w:pPr>
        <w:pStyle w:val="14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国有资本经营预算支出情况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" w:hAnsi="仿宋" w:eastAsia="仿宋" w:cs="仿宋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无</w:t>
      </w:r>
    </w:p>
    <w:p>
      <w:pPr>
        <w:pStyle w:val="14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社会保险基金预算支出情况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部门整体支出绩效情况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960" w:firstLineChars="300"/>
        <w:textAlignment w:val="auto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lang w:val="en-US" w:eastAsia="zh-CN"/>
        </w:rPr>
        <w:t>全面落实党的建设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cs="仿宋"/>
          <w:i w:val="0"/>
          <w:caps w:val="0"/>
          <w:color w:val="03030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30303"/>
          <w:spacing w:val="0"/>
          <w:sz w:val="32"/>
          <w:szCs w:val="32"/>
          <w:shd w:val="clear" w:color="auto" w:fill="FFFFFF"/>
          <w:lang w:val="en-US" w:eastAsia="zh-CN"/>
        </w:rPr>
        <w:t>（一）</w:t>
      </w:r>
      <w:r>
        <w:rPr>
          <w:rFonts w:hint="eastAsia" w:ascii="仿宋" w:hAnsi="仿宋" w:eastAsia="仿宋" w:cs="仿宋"/>
          <w:b/>
          <w:bCs/>
          <w:i w:val="0"/>
          <w:caps w:val="0"/>
          <w:color w:val="030303"/>
          <w:spacing w:val="0"/>
          <w:sz w:val="32"/>
          <w:szCs w:val="32"/>
          <w:shd w:val="clear" w:color="auto" w:fill="FFFFFF"/>
          <w:lang w:eastAsia="zh-CN"/>
        </w:rPr>
        <w:t>在政治建设方面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30303"/>
          <w:spacing w:val="0"/>
          <w:sz w:val="32"/>
          <w:szCs w:val="32"/>
          <w:shd w:val="clear" w:color="auto" w:fill="FFFFFF"/>
          <w:lang w:eastAsia="zh-CN"/>
        </w:rPr>
        <w:t>一是</w:t>
      </w:r>
      <w:r>
        <w:rPr>
          <w:rFonts w:hint="eastAsia" w:ascii="仿宋_GB2312" w:hAnsi="仿宋_GB2312" w:eastAsia="仿宋_GB2312" w:cs="仿宋_GB2312"/>
          <w:i w:val="0"/>
          <w:caps w:val="0"/>
          <w:color w:val="030303"/>
          <w:spacing w:val="0"/>
          <w:sz w:val="32"/>
          <w:szCs w:val="32"/>
          <w:shd w:val="clear" w:color="auto" w:fill="FFFFFF"/>
          <w:lang w:eastAsia="zh-CN"/>
        </w:rPr>
        <w:t>根据县委、县政府决策部署，贯彻执行《中国共产党重大事项请示报告条例》，及时研究起草相关政策文件，全年无重大差错；贯彻落实精文减会、做好值班和信息工作，及时、准确、全面报送信息和相关资料。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二是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确保“经得起看”。强化“党建内务”，班子成员定期或不定期深入联点基层党支部，传达党组有关党建工作精神，规范公开公示栏和无关标识标牌清理。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三是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确保“经得起问”。举办业务培训会4次，进行答疑式指导。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四是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确保“经得起查”。规范资料整理，要求基层各党支部设置党建专柜，配齐20套资料盒，统一标签和目录。做好规定动作，确保组织生活正常化。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五是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确保“问题交办整改到位”。联点班子成员以“一看二问三查四交办”的方式对基层党支部开展全覆盖督导，在规定时限开展全面“回头看”，确保整改工作落到实处。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六是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组织党员干部深入学习党的二十大精神，开展学习贯彻党的二十大精神宣讲2次，覆盖党员干部120余人。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" w:hAnsi="仿宋" w:cs="仿宋"/>
          <w:i w:val="0"/>
          <w:caps w:val="0"/>
          <w:color w:val="03030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30303"/>
          <w:spacing w:val="0"/>
          <w:sz w:val="32"/>
          <w:szCs w:val="32"/>
          <w:shd w:val="clear" w:color="auto" w:fill="FFFFFF"/>
          <w:lang w:val="en-US" w:eastAsia="zh-CN"/>
        </w:rPr>
        <w:t>（二）在班子团结、队伍建设和公务员管理方面。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30303"/>
          <w:spacing w:val="0"/>
          <w:sz w:val="32"/>
          <w:szCs w:val="32"/>
          <w:shd w:val="clear" w:color="auto" w:fill="FFFFFF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i w:val="0"/>
          <w:caps w:val="0"/>
          <w:color w:val="030303"/>
          <w:spacing w:val="0"/>
          <w:sz w:val="32"/>
          <w:szCs w:val="32"/>
          <w:shd w:val="clear" w:color="auto" w:fill="FFFFFF"/>
          <w:lang w:val="en-US" w:eastAsia="zh-CN"/>
        </w:rPr>
        <w:t>落实</w:t>
      </w:r>
      <w:r>
        <w:rPr>
          <w:rFonts w:hint="eastAsia" w:ascii="仿宋_GB2312" w:hAnsi="仿宋_GB2312" w:eastAsia="仿宋_GB2312" w:cs="仿宋_GB2312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党风廉政建设进一步加强，通过组织举办党风廉政建设培训、部署党风廉政工作、开展谈心谈话和强化组织文化等，促进党风廉政建设入脑入心。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30303"/>
          <w:spacing w:val="0"/>
          <w:sz w:val="32"/>
          <w:szCs w:val="32"/>
          <w:shd w:val="clear" w:color="auto" w:fill="FFFFFF"/>
          <w:lang w:eastAsia="zh-CN"/>
        </w:rPr>
        <w:t>二是</w:t>
      </w:r>
      <w:r>
        <w:rPr>
          <w:rFonts w:hint="eastAsia" w:ascii="仿宋_GB2312" w:hAnsi="仿宋_GB2312" w:eastAsia="仿宋_GB2312" w:cs="仿宋_GB2312"/>
          <w:i w:val="0"/>
          <w:caps w:val="0"/>
          <w:color w:val="030303"/>
          <w:spacing w:val="0"/>
          <w:sz w:val="32"/>
          <w:szCs w:val="32"/>
          <w:shd w:val="clear" w:color="auto" w:fill="FFFFFF"/>
          <w:lang w:eastAsia="zh-CN"/>
        </w:rPr>
        <w:t>严格执行民主集中制，班子成员坚持从自身责任抓起，以上率下，制定了局党组全面从严治党主体责任清单，明确每位班子成员抓好分管领域的主体责任，坚持把全面从严治党工作与业务工作同部署、同落实。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30303"/>
          <w:spacing w:val="0"/>
          <w:sz w:val="32"/>
          <w:szCs w:val="32"/>
          <w:shd w:val="clear" w:color="auto" w:fill="FFFFFF"/>
          <w:lang w:eastAsia="zh-CN"/>
        </w:rPr>
        <w:t>三是</w:t>
      </w:r>
      <w:r>
        <w:rPr>
          <w:rFonts w:hint="eastAsia" w:ascii="仿宋_GB2312" w:hAnsi="仿宋_GB2312" w:eastAsia="仿宋_GB2312" w:cs="仿宋_GB2312"/>
          <w:i w:val="0"/>
          <w:caps w:val="0"/>
          <w:color w:val="030303"/>
          <w:spacing w:val="0"/>
          <w:sz w:val="32"/>
          <w:szCs w:val="32"/>
          <w:shd w:val="clear" w:color="auto" w:fill="FFFFFF"/>
          <w:lang w:eastAsia="zh-CN"/>
        </w:rPr>
        <w:t>从严选用管理监督干部，狠抓领导班子和干部队伍建设，努力打造忠诚干净担当的高素质干部队伍。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30303"/>
          <w:spacing w:val="0"/>
          <w:sz w:val="32"/>
          <w:szCs w:val="32"/>
          <w:shd w:val="clear" w:color="auto" w:fill="FFFFFF"/>
          <w:lang w:eastAsia="zh-CN"/>
        </w:rPr>
        <w:t>四是</w:t>
      </w:r>
      <w:r>
        <w:rPr>
          <w:rFonts w:hint="eastAsia" w:ascii="仿宋_GB2312" w:hAnsi="仿宋_GB2312" w:eastAsia="仿宋_GB2312" w:cs="仿宋_GB2312"/>
          <w:i w:val="0"/>
          <w:caps w:val="0"/>
          <w:color w:val="030303"/>
          <w:spacing w:val="0"/>
          <w:sz w:val="32"/>
          <w:szCs w:val="32"/>
          <w:shd w:val="clear" w:color="auto" w:fill="FFFFFF"/>
          <w:lang w:eastAsia="zh-CN"/>
        </w:rPr>
        <w:t>深入学习贯彻习近平新时代中国特色社会主义思想，落实培训计划，积极开展国防教育。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" w:hAnsi="仿宋" w:cs="仿宋"/>
          <w:i w:val="0"/>
          <w:caps w:val="0"/>
          <w:color w:val="03030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30303"/>
          <w:spacing w:val="0"/>
          <w:sz w:val="32"/>
          <w:szCs w:val="32"/>
          <w:shd w:val="clear" w:color="auto" w:fill="FFFFFF"/>
          <w:lang w:val="en-US" w:eastAsia="zh-CN"/>
        </w:rPr>
        <w:t>（三）在作风建设方面。</w:t>
      </w:r>
      <w:r>
        <w:rPr>
          <w:rFonts w:hint="eastAsia" w:ascii="仿宋_GB2312" w:hAnsi="仿宋_GB2312" w:eastAsia="仿宋_GB2312" w:cs="仿宋_GB2312"/>
          <w:i w:val="0"/>
          <w:caps w:val="0"/>
          <w:color w:val="030303"/>
          <w:spacing w:val="0"/>
          <w:sz w:val="32"/>
          <w:szCs w:val="32"/>
          <w:shd w:val="clear" w:color="auto" w:fill="FFFFFF"/>
          <w:lang w:eastAsia="zh-CN"/>
        </w:rPr>
        <w:t>积极落实党中央、省委、市委、县委重大决策部署，落实中央八项规定精神，省委、市委和县委“约法三章”，杜绝不正之风，着力打造一流营商环境，简化流程实现登记注册便利化，助力中小微企业发展和大众创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30303"/>
          <w:spacing w:val="0"/>
          <w:sz w:val="32"/>
          <w:szCs w:val="32"/>
          <w:shd w:val="clear" w:color="auto" w:fill="FFFFFF"/>
          <w:lang w:val="en-US" w:eastAsia="zh-CN"/>
        </w:rPr>
        <w:t>（四）在纪律建设方面。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扎实开展“清廉洞口”建设，设立了“清廉建设专栏”，布置了“清廉文化长廊”、设置了“清廉示范岗”，开展警示教育、党纪教育，瞻仰烈士墓、红军桥，红色一日游活动等；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加大干部队伍作风整治力度，对极少数违纪违法行为严肃查处，对3名党员干部进行诫勉谈话，对10名干部进行了提醒谈话。对52名同志进行廉政教育提醒谈话。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120" w:firstLine="643" w:firstLineChars="200"/>
        <w:textAlignment w:val="auto"/>
        <w:rPr>
          <w:rFonts w:hint="eastAsia" w:ascii="仿宋" w:hAnsi="仿宋" w:eastAsia="仿宋" w:cs="仿宋"/>
          <w:i w:val="0"/>
          <w:caps w:val="0"/>
          <w:color w:val="03030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30303"/>
          <w:spacing w:val="0"/>
          <w:sz w:val="32"/>
          <w:szCs w:val="32"/>
          <w:shd w:val="clear" w:color="auto" w:fill="FFFFFF"/>
          <w:lang w:val="en-US" w:eastAsia="zh-CN"/>
        </w:rPr>
        <w:t>（五）</w:t>
      </w:r>
      <w:r>
        <w:rPr>
          <w:rFonts w:hint="eastAsia" w:ascii="仿宋" w:hAnsi="仿宋" w:eastAsia="仿宋" w:cs="仿宋"/>
          <w:b/>
          <w:bCs/>
          <w:i w:val="0"/>
          <w:caps w:val="0"/>
          <w:color w:val="03030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强化意识形态工作。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把抓好意识形态工作作为党组班子成员使命和职责。加强政治理论教育。中心组学习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14次，组织全局干部集中学习4次。本年度我局无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意识形态领域重大风险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二、全面落实重点工作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30303"/>
          <w:spacing w:val="0"/>
          <w:sz w:val="32"/>
          <w:szCs w:val="32"/>
          <w:shd w:val="clear" w:color="auto" w:fill="FFFFFF"/>
          <w:lang w:val="en-US" w:eastAsia="zh-CN"/>
        </w:rPr>
        <w:t>（六）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市场主体倍增工作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一是组织领导有力，工作有序开展。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我局组建了工作专班，实行班子成员联点包片制，以基层所为单位开展市场主体倍增工作，建立了日通报、周调度、月考核的工作模式。上半年，党组专题研究市场主体倍增工作8次，局长到基层所实地督导调研2次，开展市场主体倍增工作业务培训2次，召开中层骨干以上专题调度会3次，推动工作有序开展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二是争取上级支持，加强部门联动。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推动成立了由县委书记、县长任总召集人的市场主体倍增工作推进机制，提交县政府常务会议研究制定下发了《洞口县优化营商环境促进市场主体高质量发展实施方案》；提交县委常委会研究通过了《关于洞口县市场主体倍增工作的考核办法》，将该项工作纳入县绩效考核。组织召开工作座谈会1次，调度会3次，业务培训1次，加强了与部门、乡镇的工作协调。局长、分管领导专门赴市局协调市场主体倍增工作4次，为我县的市场主体倍增工作营造了良好的发展环境，明确了正确的发展方向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2022年市场主体倍增总体工作取得较好成绩。其中，三月份综合排名全市第三，四月份综合排名全市第一，五月份综合排名全市第二，后续不进行排名。截至目前，全县共有市场主体38075户，市场主体数净增8858户，存量为38360户；企业净增4406户，存量为8619户；法人企业净增1478户，存量4122户；“个转企”净增128户，市场主体总数、法人企业数、企业数、个转企数已全面完成全年考核指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30303"/>
          <w:spacing w:val="0"/>
          <w:sz w:val="32"/>
          <w:szCs w:val="32"/>
          <w:shd w:val="clear" w:color="auto" w:fill="FFFFFF"/>
          <w:lang w:val="en-US" w:eastAsia="zh-CN"/>
        </w:rPr>
        <w:t>（七）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知识产权工作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开展“双打”、“雷霆”、“铁拳”、“蓝天”等专项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行动，严厉打击知识产权、商标侵权行为，出动执法人员150余人次，检查市场主体70余户。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lang w:val="en-US" w:eastAsia="zh-CN"/>
        </w:rPr>
        <w:t>假冒专利案件目标13件，完成13件，全面完成任务；专利侵权纠纷案件目标2件，完成2件，全面完成任务；商标侵权案件目标13件，完成13件，全面完成任务；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lang w:val="en-US" w:eastAsia="zh-CN"/>
        </w:rPr>
        <w:t>非正常专利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lang w:val="en-US" w:eastAsia="zh-CN"/>
        </w:rPr>
        <w:t>申请48件，撤回48件，撤回率100%。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走访市场主体140人次，挖掘专利、商标等各项知识产权潜力80件，专利授权240件，商标注册805件，有效发明专利29件，每万人拥有量0.43件，全市排名第12名。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3030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30303"/>
          <w:spacing w:val="0"/>
          <w:sz w:val="32"/>
          <w:szCs w:val="32"/>
          <w:shd w:val="clear" w:color="auto" w:fill="FFFFFF"/>
          <w:lang w:val="en-US" w:eastAsia="zh-CN"/>
        </w:rPr>
        <w:t>三、全面落实激励约束指标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（八）重大产品质量事件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未发生重大产品质量事件</w:t>
      </w:r>
      <w:r>
        <w:rPr>
          <w:rFonts w:hint="eastAsia" w:ascii="仿宋" w:hAnsi="仿宋" w:cs="仿宋"/>
          <w:color w:val="00000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（九）重大服务质量事件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未发生重大服务质量事件</w:t>
      </w:r>
      <w:r>
        <w:rPr>
          <w:rFonts w:hint="eastAsia" w:ascii="仿宋" w:hAnsi="仿宋" w:cs="仿宋"/>
          <w:color w:val="00000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（十）重大药品安全事件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未发生重大药品安全事件</w:t>
      </w:r>
      <w:r>
        <w:rPr>
          <w:rFonts w:hint="eastAsia" w:ascii="仿宋" w:hAnsi="仿宋" w:cs="仿宋"/>
          <w:color w:val="00000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（十一）重大食品安全事件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未发生重大食品安全事件</w:t>
      </w:r>
      <w:r>
        <w:rPr>
          <w:rFonts w:hint="eastAsia" w:ascii="仿宋" w:hAnsi="仿宋" w:cs="仿宋"/>
          <w:color w:val="00000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四、全面落实主体责任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200" w:right="0" w:rightChars="0"/>
        <w:jc w:val="left"/>
        <w:textAlignment w:val="auto"/>
        <w:outlineLvl w:val="9"/>
        <w:rPr>
          <w:rFonts w:hint="eastAsia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（十二）</w:t>
      </w:r>
      <w:r>
        <w:rPr>
          <w:rFonts w:hint="eastAsia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标准化和品牌建设工作落实有效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开展雪峰蜜桔标准和品牌讨论会10次，组织雪峰蜜桔地方标准宣贯会2次，培训200多位蜜桔种植户和20家企业，开发11款以雪峰蜜桔为原料的深加工产品；完成雪峰蜜桔标准化体系编制说明和总体框架；向国家知识产权局申请注册12个“雪峰蜜桔”图形商标和“洞口雪峰”的文字商标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帮助19家企业向国家市场监督管理总局申请专用标志使用权（已报国家知识产权局审批）；洞口县花古中学获评湖南省中小学知识产权教育试点学校；开展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“标准化助企纾困促进‘小个专’健康发展”活动被国家市监局和省市监局作为典型案例进行推广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（十三）全力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打造一流营商环境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全程电子化办件4681件，企业新设4285件，比去年同比增长562.29%，其中全程电子化办件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2912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件，企业新设全程电子化比例高达90.9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8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%。做好市场主体歇业备案登记工作，理市场主体歇业登记49件。实现“个转企”登记程序一件事一次办。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（十四）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牢牢守住安全底线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出动执法检查人员27000余人次，检查和指导督导市场主体合计15845家次，其中农贸市场551家次，商场超市4210家次，餐饮单位6021家次，网络餐饮平台45家次，冷链食品生产经营单位1327家次，药品经营单位1050家次，特种设备相关单位497家次，其他经营单位2144家次，责令整改273家次，关门整顿8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开展食品、药品、特种设备、产品质量等专项整治行动25次，出动执法人员9600余人次，检查市场主体2780余家次，发放宣传资料16000余份，下达责令整改通知书260余份，立案查处117起。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Style w:val="16"/>
          <w:rFonts w:hint="eastAsia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完成食品及食用农产品抽检2143批次，对不合格40批次依法核查处置到位；</w:t>
      </w:r>
      <w:r>
        <w:rPr>
          <w:rFonts w:hint="eastAsia" w:ascii="仿宋_GB2312" w:eastAsia="仿宋_GB2312"/>
          <w:sz w:val="32"/>
          <w:szCs w:val="32"/>
        </w:rPr>
        <w:t>完成各类农产品定量检测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0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批次，稻谷风险监测30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批次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对14家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绿色食品</w:t>
      </w:r>
      <w:r>
        <w:rPr>
          <w:rFonts w:hint="eastAsia" w:ascii="仿宋_GB2312" w:eastAsia="仿宋_GB2312"/>
          <w:sz w:val="32"/>
          <w:szCs w:val="32"/>
        </w:rPr>
        <w:t>、有机食品认证企业进行食用农产品承诺达标合格证备案，备案产品34个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Style w:val="16"/>
          <w:rFonts w:hint="eastAsia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完成2022年食品安全标准跟踪评价工作，报告食源性疾病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病例数321例，</w:t>
      </w:r>
      <w:r>
        <w:rPr>
          <w:rStyle w:val="16"/>
          <w:rFonts w:hint="eastAsia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均依法处理；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对县城餐饮开展食品监测30份，合格率100%；开展食品化学污染物监测，其中包子、馒头、花卷、面包、油条各10份，稻谷30份，大米50份，合格率100%。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开展长江流域禁渔禁捕专项整治行动，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出动执法人员827人次，检查农贸市场74个次，检查商超渔具店204家次，检查餐饮单位193家次，检查水产品市场经营户13家次，其他食品经营者41家次，网络监测电商平台12家次，平台内经营者38户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组织“3.15”、“宣传周”、“野生蘑菇中毒防控”等大型宣传6次，悬挂宣传横幅100余条，微信公众号上发布宣传30条，抖音公众号发布宣传视频18个，发放宣传资料13000余份，在各级媒体上刊发新闻稿件40余篇。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全市范围内率先完成了对县域范围内120余公里的燃气压力管道检验工作；通过液化石油气瓶安全追溯信息化监管实现了全县16万余个液化石油气瓶从制造到报废的全过程实时监控，截至目前我县液化石油气瓶共完成信息录入的气瓶数量为173390只，覆盖率100%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十五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严格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落实疫情防控措施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全面落实进口冷链“湘冷链”追溯系统，共检查进口冷链食品经营单位294家次，其中集中交易市场11家次，冷藏冷冻库222家次，其他单位44家次，责令整改13家次。督促进口冷链从业人员在特护期落实每两天一次核酸检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全县184家药品零售企业都使用“湖南省零售药店常态化疫情监测警戒系统”上报“四类药物”销售信息。共出动128人次，抽查督导药店84家，下发整改督导单62份。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对全县28个疫苗接种点进行巡回检查，出动执法人员66人次，检查疫苗接种点22家次，下发责令整改通知3份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贯彻县委县政府“一手抓疫情、一手抓发展”决策部署，与县城主城区2500余户市场主体签订《落实新冠肺炎疫情防控措施承诺书》，督促市场主体严格按着疫情防控要求恢复经营，有力推进县城主城区有序复工复市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十六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）着力实施品牌战略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开展知识产权宣传4次，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进校园活动2次，培训400人次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挂宣传横幅30个、直传版面30个、设立宣传咨询台1个,发放宣传资料5000余份。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19家企业成功取得地理标志专用标志使用授权，授权企业达21家，雪峰蜜桔成为目前我市使用率最高的地标。开展地标溯源码建设，16家企业进入该系统，为我县雪峰蜜桔品牌保护打下坚实基础。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十七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积极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维护市场竞争秩序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维护市场公平交易秩序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。查处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广告类案件7起，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价格类案件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件，计量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案件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清查无证无照经营户114家，立案查处110起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受理消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费者投诉举报共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977件，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均做到及时受理，及时办结和回复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，并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积极开展消费调解，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成功调解消费纠纷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548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件，共挽回经济损失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26.99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提供档案查询680户次，司法协助14起。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县党代会代表信用审查12000余人次，32人资格受限。配合政法队伍整顿查询信息2400余人次。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积极推进双随机一公开工作。制定或接收的抽查任务共35项，已完成35项，应检查的对象数共1362户，已录入检查结果1362户，已公示检查结果1362户，公示率100%。指导市场监管领域成员单位制定并完成抽查工作19次，指导五大牵头部门完成跨部门联合抽查5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推动“明厨亮灶”、</w:t>
      </w:r>
      <w:r>
        <w:rPr>
          <w:rStyle w:val="16"/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食品安全综合监管平台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等“互联网+”监管平台建立。</w:t>
      </w:r>
      <w:r>
        <w:rPr>
          <w:rStyle w:val="16"/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87家学校食堂实现了“明厨亮灶”；食品安全综合监管平台监督检查覆盖率完成98.75%，发现风险问题数341个，其中立案41起，结案41起；责令改正300起，整改到位297起，处置完成率99%。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（十八）大力推进乡村振兴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从中层骨干和后备干部中选派了3支乡村振兴工作队共8名队员开展驻村工作，每个村明确一名党组成员作为联点领导，切实做好驻村保障服务。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（十九）积极创建省级食品安全示范县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开展省级食品安全示范创建，获得2022年度食品安全真抓实干督查激励。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rPr>
          <w:rFonts w:hint="eastAsia" w:ascii="微软雅黑" w:hAnsi="微软雅黑" w:eastAsia="微软雅黑" w:cs="微软雅黑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一是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迅速贯彻落实食品安全“两个责任”工作机制。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完善组织机构，县乡两级成立工作专班，建立“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一二三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（五）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”工作联动机制。严格精准分级，强化提及管理，对部分食品生产经营户进行动态调整，提档提级。以点带面，将江口镇作为全县食品安全建设乡镇示范点，示范带动各乡镇食品安全工作有序开展。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创新工作方式，制作包保手册。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截至10月22日，全县完成包保主体级别代码录入4811个，完成行政区划代码录入4811个，综合完成进度100%，排名全市第一。</w:t>
      </w: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二是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15"/>
          <w:sz w:val="32"/>
          <w:szCs w:val="32"/>
          <w:lang w:val="en-US" w:eastAsia="zh-CN"/>
        </w:rPr>
        <w:t>在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全市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范围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率先</w:t>
      </w:r>
      <w:r>
        <w:rPr>
          <w:rStyle w:val="16"/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推行农村聚餐申报系统，聚餐备案工作从线下搬到线上，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申报、审核、监管等所有流程都通过微信小程序完成，实现“事前申报、过程监管、事后追溯”的全程管理</w:t>
      </w:r>
      <w:r>
        <w:rPr>
          <w:rStyle w:val="16"/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推行</w:t>
      </w:r>
      <w:r>
        <w:rPr>
          <w:rStyle w:val="16"/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农村聚餐申报系统以来，没有发生一起农村聚餐食品中毒事件。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七、存在的问题及原因分析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（一）预算执行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根据本次预算评价情况，存在预算绩效申报时，编制的绩效目标不具体，绩效目标未完全细化分解为具体工作任务，部分绩效指标不清晰、可衡量性差。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（二）内部管理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基层执法力量薄弱。各基层市场监管所普遍存在人员少、年龄偏大、知识结构不合理、执法能力与监管任务不相匹配等问题，与全面履行市场监管职能的要求相距甚远，解决需要一个长期的过程。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技术支撑手段有待加强。由于专业技术人员缺乏，经费短缺，检验检测中心作用发挥有限，技术手段的滞后影响了行政执法效能的有效提升。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（三）经费保障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经费保障有待加强。一方面限于县财力，财政预算增幅缓慢，加上“放、管、服”改革、经济整体下行等因素的影响，非税收入大幅降低，另一方面食品、药品、产商品检验检测、行政执法、质量强县、知识产权保护、法律宣传等日常监管成本大幅提升，两者矛盾导致工作推进受到影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八、下一步改进措施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（一）请财政根据实际情况，提高年初部门预算额度。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（二）进一步堆满绩效目标编制。在编制资金绩效目标时要求指向明确、细化量化、合理可行、相应匹配。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（三）规范账务处理，提高财务信息质量。严格按照《会计法》、《行政事业单位会计制度》、《行政事业单位财务规则》等规定，结合实际情况，科学设置支出科目，规范财务核算，完整披露相关信息。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eastAsia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九、部门整体支出绩效自评结果拟应用和公开情况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  <w:lang w:eastAsia="zh-CN"/>
        </w:rPr>
        <w:t>十、</w:t>
      </w:r>
      <w:r>
        <w:rPr>
          <w:rFonts w:ascii="Times New Roman" w:hAnsi="Times New Roman" w:eastAsia="黑体" w:cs="Times New Roman"/>
          <w:sz w:val="32"/>
          <w:szCs w:val="32"/>
        </w:rPr>
        <w:t>其他需要说明的情况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报告需要以下附件：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1.部门整体支出绩效评价基础数据表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2.部门整体支出绩效自评表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3.项目支出绩效自评表（一个项目支出一张表）</w:t>
      </w:r>
    </w:p>
    <w:p>
      <w:pPr>
        <w:ind w:firstLine="5250" w:firstLineChars="1750"/>
        <w:rPr>
          <w:sz w:val="30"/>
          <w:szCs w:val="30"/>
        </w:rPr>
      </w:pPr>
    </w:p>
    <w:p>
      <w:pPr>
        <w:rPr>
          <w:rFonts w:ascii="宋体" w:hAnsi="宋体" w:eastAsia="宋体" w:cs="宋体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tbuXfQAAAAAgEAAA8AAAAAAAAAAQAgAAAAIgAAAGRycy9kb3ducmV2LnhtbFBLAQIU&#10;ABQAAAAIAIdO4kBzKKfD+wEAAAMEAAAOAAAAAAAAAAEAIAAAAB8BAABkcnMvZTJvRG9jLnhtbFBL&#10;BQYAAAAABgAGAFkBAAC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7E36D8"/>
    <w:multiLevelType w:val="singleLevel"/>
    <w:tmpl w:val="E77E36D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D2F5A57"/>
    <w:multiLevelType w:val="multilevel"/>
    <w:tmpl w:val="7D2F5A57"/>
    <w:lvl w:ilvl="0" w:tentative="0">
      <w:start w:val="1"/>
      <w:numFmt w:val="decimal"/>
      <w:pStyle w:val="17"/>
      <w:lvlText w:val="（%1）"/>
      <w:lvlJc w:val="left"/>
      <w:pPr>
        <w:tabs>
          <w:tab w:val="left" w:pos="1200"/>
        </w:tabs>
        <w:ind w:left="1200" w:hanging="720"/>
      </w:pPr>
    </w:lvl>
    <w:lvl w:ilvl="1" w:tentative="0">
      <w:start w:val="1"/>
      <w:numFmt w:val="lowerLetter"/>
      <w:lvlText w:val="%1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1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1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1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1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1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1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1."/>
      <w:lvlJc w:val="right"/>
      <w:pPr>
        <w:tabs>
          <w:tab w:val="left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iZDc3ZjBmOTdlYjgwMTQzMGQyMDY2OTkyNTIyMTYifQ=="/>
  </w:docVars>
  <w:rsids>
    <w:rsidRoot w:val="009D613C"/>
    <w:rsid w:val="00027F1A"/>
    <w:rsid w:val="000361B4"/>
    <w:rsid w:val="0006032F"/>
    <w:rsid w:val="00067F00"/>
    <w:rsid w:val="000855EC"/>
    <w:rsid w:val="00100697"/>
    <w:rsid w:val="00101333"/>
    <w:rsid w:val="001051CA"/>
    <w:rsid w:val="001052C2"/>
    <w:rsid w:val="0011465E"/>
    <w:rsid w:val="00115316"/>
    <w:rsid w:val="001336D2"/>
    <w:rsid w:val="00134577"/>
    <w:rsid w:val="00176622"/>
    <w:rsid w:val="001779A0"/>
    <w:rsid w:val="00183D23"/>
    <w:rsid w:val="001A2BBA"/>
    <w:rsid w:val="001C41E5"/>
    <w:rsid w:val="001D0EFA"/>
    <w:rsid w:val="001F63E4"/>
    <w:rsid w:val="002210D5"/>
    <w:rsid w:val="002229D7"/>
    <w:rsid w:val="00233F0B"/>
    <w:rsid w:val="00244BCF"/>
    <w:rsid w:val="00250218"/>
    <w:rsid w:val="00282E96"/>
    <w:rsid w:val="00296154"/>
    <w:rsid w:val="002A325F"/>
    <w:rsid w:val="002A6DA0"/>
    <w:rsid w:val="002C795D"/>
    <w:rsid w:val="00305D60"/>
    <w:rsid w:val="00346C6D"/>
    <w:rsid w:val="0036040E"/>
    <w:rsid w:val="00392783"/>
    <w:rsid w:val="003E6384"/>
    <w:rsid w:val="003F1158"/>
    <w:rsid w:val="003F22B0"/>
    <w:rsid w:val="00425984"/>
    <w:rsid w:val="0042626B"/>
    <w:rsid w:val="004418EB"/>
    <w:rsid w:val="00460D96"/>
    <w:rsid w:val="00460E26"/>
    <w:rsid w:val="004671B0"/>
    <w:rsid w:val="00467F58"/>
    <w:rsid w:val="004B608C"/>
    <w:rsid w:val="004B71E6"/>
    <w:rsid w:val="004C0E6C"/>
    <w:rsid w:val="004D491E"/>
    <w:rsid w:val="00507995"/>
    <w:rsid w:val="00515144"/>
    <w:rsid w:val="0051565D"/>
    <w:rsid w:val="0052077E"/>
    <w:rsid w:val="00527766"/>
    <w:rsid w:val="00554429"/>
    <w:rsid w:val="0055574E"/>
    <w:rsid w:val="005737B9"/>
    <w:rsid w:val="00573E1B"/>
    <w:rsid w:val="005C0E0E"/>
    <w:rsid w:val="005C1754"/>
    <w:rsid w:val="005C6E8C"/>
    <w:rsid w:val="005D15FD"/>
    <w:rsid w:val="005D6347"/>
    <w:rsid w:val="00614C0E"/>
    <w:rsid w:val="00633FF3"/>
    <w:rsid w:val="006503F4"/>
    <w:rsid w:val="00673360"/>
    <w:rsid w:val="0069055B"/>
    <w:rsid w:val="006B2A91"/>
    <w:rsid w:val="006B4133"/>
    <w:rsid w:val="006E61A1"/>
    <w:rsid w:val="00702AD8"/>
    <w:rsid w:val="00704A4D"/>
    <w:rsid w:val="007171E9"/>
    <w:rsid w:val="007225D9"/>
    <w:rsid w:val="0072309A"/>
    <w:rsid w:val="00726F7C"/>
    <w:rsid w:val="00761D50"/>
    <w:rsid w:val="00763889"/>
    <w:rsid w:val="008323C5"/>
    <w:rsid w:val="00882A91"/>
    <w:rsid w:val="00897FF8"/>
    <w:rsid w:val="008A4115"/>
    <w:rsid w:val="008B7C21"/>
    <w:rsid w:val="008C57E4"/>
    <w:rsid w:val="008C7064"/>
    <w:rsid w:val="008D259B"/>
    <w:rsid w:val="008D3AAE"/>
    <w:rsid w:val="008E13A0"/>
    <w:rsid w:val="008F1BEC"/>
    <w:rsid w:val="008F5728"/>
    <w:rsid w:val="00905F5C"/>
    <w:rsid w:val="00916F43"/>
    <w:rsid w:val="00924A5D"/>
    <w:rsid w:val="00932D3A"/>
    <w:rsid w:val="00972E2E"/>
    <w:rsid w:val="00983C8C"/>
    <w:rsid w:val="009B744A"/>
    <w:rsid w:val="009B7F3E"/>
    <w:rsid w:val="009D2A6D"/>
    <w:rsid w:val="009D613C"/>
    <w:rsid w:val="009E28AC"/>
    <w:rsid w:val="009F2B80"/>
    <w:rsid w:val="00A00385"/>
    <w:rsid w:val="00A042F9"/>
    <w:rsid w:val="00A07F22"/>
    <w:rsid w:val="00A446D0"/>
    <w:rsid w:val="00A72F48"/>
    <w:rsid w:val="00AD19F4"/>
    <w:rsid w:val="00AE36B1"/>
    <w:rsid w:val="00AF3156"/>
    <w:rsid w:val="00B02667"/>
    <w:rsid w:val="00B0382B"/>
    <w:rsid w:val="00B155E1"/>
    <w:rsid w:val="00B15C79"/>
    <w:rsid w:val="00BA0BA9"/>
    <w:rsid w:val="00BA3273"/>
    <w:rsid w:val="00BA66C5"/>
    <w:rsid w:val="00BB0471"/>
    <w:rsid w:val="00BC7371"/>
    <w:rsid w:val="00BD3569"/>
    <w:rsid w:val="00BD4AC1"/>
    <w:rsid w:val="00C17897"/>
    <w:rsid w:val="00C270CA"/>
    <w:rsid w:val="00C85E1C"/>
    <w:rsid w:val="00CA4CC0"/>
    <w:rsid w:val="00CE46D1"/>
    <w:rsid w:val="00CF784A"/>
    <w:rsid w:val="00D04239"/>
    <w:rsid w:val="00D06B92"/>
    <w:rsid w:val="00D077D6"/>
    <w:rsid w:val="00D36EAD"/>
    <w:rsid w:val="00D45AF8"/>
    <w:rsid w:val="00D518F8"/>
    <w:rsid w:val="00D51F89"/>
    <w:rsid w:val="00D54AC3"/>
    <w:rsid w:val="00D95831"/>
    <w:rsid w:val="00DC64EB"/>
    <w:rsid w:val="00DC687F"/>
    <w:rsid w:val="00DD07B4"/>
    <w:rsid w:val="00DE01E7"/>
    <w:rsid w:val="00DE351A"/>
    <w:rsid w:val="00DE74D6"/>
    <w:rsid w:val="00DF4C77"/>
    <w:rsid w:val="00E2654B"/>
    <w:rsid w:val="00E3539A"/>
    <w:rsid w:val="00E62608"/>
    <w:rsid w:val="00E6780C"/>
    <w:rsid w:val="00E92D05"/>
    <w:rsid w:val="00E975B4"/>
    <w:rsid w:val="00EB73CA"/>
    <w:rsid w:val="00F0552F"/>
    <w:rsid w:val="00F12408"/>
    <w:rsid w:val="00F132BD"/>
    <w:rsid w:val="00F14BED"/>
    <w:rsid w:val="00F229B3"/>
    <w:rsid w:val="00F343B7"/>
    <w:rsid w:val="00F4058F"/>
    <w:rsid w:val="00F6067D"/>
    <w:rsid w:val="00F9144A"/>
    <w:rsid w:val="00F94A0F"/>
    <w:rsid w:val="00F95CA8"/>
    <w:rsid w:val="00FA4A7C"/>
    <w:rsid w:val="00FC0DD8"/>
    <w:rsid w:val="00FD5F5B"/>
    <w:rsid w:val="00FE3C86"/>
    <w:rsid w:val="00FF3B5C"/>
    <w:rsid w:val="05103039"/>
    <w:rsid w:val="06852909"/>
    <w:rsid w:val="071F0864"/>
    <w:rsid w:val="079052BE"/>
    <w:rsid w:val="08030185"/>
    <w:rsid w:val="122356AC"/>
    <w:rsid w:val="13954387"/>
    <w:rsid w:val="15CE592F"/>
    <w:rsid w:val="17215F32"/>
    <w:rsid w:val="17935082"/>
    <w:rsid w:val="1A5C26E5"/>
    <w:rsid w:val="1BF12377"/>
    <w:rsid w:val="1C595149"/>
    <w:rsid w:val="1DAE0917"/>
    <w:rsid w:val="20825C93"/>
    <w:rsid w:val="21C83B7A"/>
    <w:rsid w:val="27A504B9"/>
    <w:rsid w:val="32F522F5"/>
    <w:rsid w:val="34237B70"/>
    <w:rsid w:val="34AE6BFF"/>
    <w:rsid w:val="37597386"/>
    <w:rsid w:val="37D27644"/>
    <w:rsid w:val="3A233BEC"/>
    <w:rsid w:val="3AAB6280"/>
    <w:rsid w:val="3B462B12"/>
    <w:rsid w:val="3E4203B8"/>
    <w:rsid w:val="3EDC61DF"/>
    <w:rsid w:val="426C3C56"/>
    <w:rsid w:val="436B3466"/>
    <w:rsid w:val="44E73A68"/>
    <w:rsid w:val="48846063"/>
    <w:rsid w:val="4DC64B62"/>
    <w:rsid w:val="4FBA24A4"/>
    <w:rsid w:val="50630D8E"/>
    <w:rsid w:val="50772144"/>
    <w:rsid w:val="50BE6F9A"/>
    <w:rsid w:val="592F5CB1"/>
    <w:rsid w:val="5C0C052C"/>
    <w:rsid w:val="5ED66BCF"/>
    <w:rsid w:val="62F86CEA"/>
    <w:rsid w:val="65E36256"/>
    <w:rsid w:val="6817628E"/>
    <w:rsid w:val="68E0325C"/>
    <w:rsid w:val="6AB97AD1"/>
    <w:rsid w:val="6DB147B6"/>
    <w:rsid w:val="6E4B7B2E"/>
    <w:rsid w:val="6F9B1553"/>
    <w:rsid w:val="72C65CF8"/>
    <w:rsid w:val="73532145"/>
    <w:rsid w:val="746A2AF7"/>
    <w:rsid w:val="77AB2709"/>
    <w:rsid w:val="78216CB5"/>
    <w:rsid w:val="7C91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42"/>
      <w:ind w:left="120"/>
    </w:pPr>
    <w:rPr>
      <w:rFonts w:hint="eastAsia" w:ascii="仿宋_GB2312" w:hAnsi="仿宋_GB2312" w:eastAsia="仿宋_GB2312" w:cs="宋体"/>
      <w:sz w:val="32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uiPriority w:val="99"/>
    <w:rPr>
      <w:kern w:val="2"/>
      <w:sz w:val="18"/>
      <w:szCs w:val="18"/>
    </w:rPr>
  </w:style>
  <w:style w:type="paragraph" w:styleId="14">
    <w:name w:val="List Paragraph"/>
    <w:basedOn w:val="1"/>
    <w:unhideWhenUsed/>
    <w:uiPriority w:val="99"/>
    <w:pPr>
      <w:ind w:firstLine="420" w:firstLineChars="200"/>
    </w:pPr>
  </w:style>
  <w:style w:type="paragraph" w:customStyle="1" w:styleId="15">
    <w:name w:val="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4"/>
    </w:rPr>
  </w:style>
  <w:style w:type="character" w:customStyle="1" w:styleId="16">
    <w:name w:val="NormalCharacter"/>
    <w:link w:val="17"/>
    <w:qFormat/>
    <w:uiPriority w:val="0"/>
    <w:rPr>
      <w:rFonts w:ascii="仿宋_GB2312" w:eastAsia="仿宋_GB2312" w:cs="宋体"/>
      <w:bCs/>
      <w:kern w:val="2"/>
      <w:sz w:val="28"/>
      <w:szCs w:val="28"/>
      <w:lang w:val="en-US" w:eastAsia="zh-CN" w:bidi="ar-SA"/>
    </w:rPr>
  </w:style>
  <w:style w:type="paragraph" w:customStyle="1" w:styleId="17">
    <w:name w:val="UserStyle_0"/>
    <w:basedOn w:val="1"/>
    <w:link w:val="16"/>
    <w:qFormat/>
    <w:uiPriority w:val="0"/>
    <w:pPr>
      <w:numPr>
        <w:ilvl w:val="0"/>
        <w:numId w:val="1"/>
      </w:numPr>
      <w:jc w:val="both"/>
      <w:textAlignment w:val="baseline"/>
    </w:pPr>
    <w:rPr>
      <w:rFonts w:ascii="仿宋_GB2312" w:eastAsia="仿宋_GB2312" w:cs="宋体"/>
      <w:bCs/>
      <w:kern w:val="2"/>
      <w:sz w:val="28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8115</Words>
  <Characters>8494</Characters>
  <Lines>52</Lines>
  <Paragraphs>14</Paragraphs>
  <TotalTime>1</TotalTime>
  <ScaleCrop>false</ScaleCrop>
  <LinksUpToDate>false</LinksUpToDate>
  <CharactersWithSpaces>8508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2022-07-08T01:19:00Z</dcterms:created>
  <dc:creator>Administrator</dc:creator>
  <cp:lastModifiedBy>Administrator</cp:lastModifiedBy>
  <cp:lastPrinted>2022-07-11T03:15:00Z</cp:lastPrinted>
  <dcterms:modified xsi:type="dcterms:W3CDTF">2023-04-20T05:36:13Z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30F8AD852141499B96738CFC8EE949BC_12</vt:lpwstr>
  </property>
</Properties>
</file>