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仿宋"/>
          <w:sz w:val="32"/>
          <w:szCs w:val="32"/>
        </w:rPr>
      </w:pPr>
      <w:r>
        <w:rPr>
          <w:rFonts w:hint="eastAsia" w:ascii="黑体" w:hAnsi="黑体" w:eastAsia="黑体" w:cs="仿宋"/>
          <w:sz w:val="32"/>
          <w:szCs w:val="32"/>
        </w:rPr>
        <w:t>附件4</w:t>
      </w:r>
    </w:p>
    <w:p>
      <w:pPr>
        <w:spacing w:line="400" w:lineRule="exact"/>
        <w:rPr>
          <w:rFonts w:hint="eastAsia" w:ascii="仿宋_GB2312" w:hAnsi="仿宋" w:eastAsia="仿宋_GB2312" w:cs="仿宋"/>
          <w:sz w:val="32"/>
          <w:szCs w:val="32"/>
        </w:rPr>
      </w:pPr>
    </w:p>
    <w:tbl>
      <w:tblPr>
        <w:tblStyle w:val="7"/>
        <w:tblW w:w="9000" w:type="dxa"/>
        <w:tblInd w:w="-72"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fixed"/>
        <w:tblCellMar>
          <w:top w:w="0" w:type="dxa"/>
          <w:left w:w="108" w:type="dxa"/>
          <w:bottom w:w="0" w:type="dxa"/>
          <w:right w:w="108" w:type="dxa"/>
        </w:tblCellMar>
      </w:tblPr>
      <w:tblGrid>
        <w:gridCol w:w="9000"/>
      </w:tblGrid>
      <w:tr>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fixed"/>
          <w:tblCellMar>
            <w:top w:w="0" w:type="dxa"/>
            <w:left w:w="108" w:type="dxa"/>
            <w:bottom w:w="0" w:type="dxa"/>
            <w:right w:w="108" w:type="dxa"/>
          </w:tblCellMar>
        </w:tblPrEx>
        <w:trPr>
          <w:trHeight w:val="1092" w:hRule="atLeast"/>
        </w:trPr>
        <w:tc>
          <w:tcPr>
            <w:tcW w:w="9000" w:type="dxa"/>
            <w:tcBorders>
              <w:top w:val="nil"/>
              <w:left w:val="nil"/>
              <w:right w:val="nil"/>
            </w:tcBorders>
            <w:noWrap w:val="0"/>
            <w:vAlign w:val="top"/>
          </w:tcPr>
          <w:p>
            <w:pPr>
              <w:spacing w:line="1200" w:lineRule="exact"/>
              <w:ind w:left="180"/>
              <w:jc w:val="center"/>
              <w:rPr>
                <w:rFonts w:hint="eastAsia" w:ascii="方正小标宋简体" w:hAnsi="仿宋" w:eastAsia="方正小标宋简体" w:cs="仿宋"/>
                <w:w w:val="93"/>
                <w:sz w:val="84"/>
                <w:szCs w:val="84"/>
              </w:rPr>
            </w:pPr>
            <w:r>
              <w:rPr>
                <w:rFonts w:hint="eastAsia" w:ascii="方正小标宋简体" w:hAnsi="仿宋" w:eastAsia="方正小标宋简体" w:cs="仿宋"/>
                <w:w w:val="93"/>
                <w:sz w:val="84"/>
                <w:szCs w:val="84"/>
              </w:rPr>
              <w:t>湖南省住房和城乡建设厅</w:t>
            </w:r>
          </w:p>
        </w:tc>
      </w:tr>
    </w:tbl>
    <w:p>
      <w:pPr>
        <w:spacing w:line="60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湘建设函〔2017〕324号</w:t>
      </w:r>
    </w:p>
    <w:p>
      <w:pPr>
        <w:pStyle w:val="4"/>
        <w:spacing w:before="0" w:beforeAutospacing="0" w:after="0" w:afterAutospacing="0" w:line="500" w:lineRule="exact"/>
        <w:ind w:firstLine="482"/>
        <w:jc w:val="center"/>
        <w:rPr>
          <w:rFonts w:hint="eastAsia" w:ascii="黑体" w:hAnsi="黑体" w:eastAsia="黑体"/>
          <w:color w:val="000000"/>
          <w:sz w:val="36"/>
          <w:szCs w:val="36"/>
        </w:rPr>
      </w:pPr>
    </w:p>
    <w:p>
      <w:pPr>
        <w:pStyle w:val="4"/>
        <w:spacing w:before="0" w:beforeAutospacing="0" w:after="0" w:afterAutospacing="0" w:line="500" w:lineRule="exact"/>
        <w:ind w:firstLine="482"/>
        <w:jc w:val="center"/>
        <w:rPr>
          <w:rFonts w:hint="eastAsia" w:ascii="黑体" w:hAnsi="黑体" w:eastAsia="黑体"/>
          <w:color w:val="000000"/>
          <w:sz w:val="36"/>
          <w:szCs w:val="36"/>
        </w:rPr>
      </w:pPr>
    </w:p>
    <w:p>
      <w:pPr>
        <w:pStyle w:val="4"/>
        <w:spacing w:before="0" w:beforeAutospacing="0" w:after="0" w:afterAutospacing="0" w:line="600" w:lineRule="exact"/>
        <w:ind w:firstLine="482"/>
        <w:jc w:val="center"/>
        <w:rPr>
          <w:rFonts w:hint="eastAsia" w:ascii="方正小标宋简体" w:eastAsia="方正小标宋简体"/>
          <w:color w:val="000000"/>
          <w:sz w:val="44"/>
          <w:szCs w:val="44"/>
        </w:rPr>
      </w:pPr>
      <w:r>
        <w:rPr>
          <w:rFonts w:hint="eastAsia" w:ascii="方正小标宋简体" w:hAnsi="黑体" w:eastAsia="方正小标宋简体"/>
          <w:color w:val="000000"/>
          <w:sz w:val="44"/>
          <w:szCs w:val="44"/>
        </w:rPr>
        <w:t>湖南省住房和城乡建设厅</w:t>
      </w:r>
    </w:p>
    <w:p>
      <w:pPr>
        <w:pStyle w:val="4"/>
        <w:spacing w:before="0" w:beforeAutospacing="0" w:after="0" w:afterAutospacing="0" w:line="600" w:lineRule="exact"/>
        <w:ind w:firstLine="482"/>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关于公布全省政府购买施工图审查服务</w:t>
      </w:r>
    </w:p>
    <w:p>
      <w:pPr>
        <w:pStyle w:val="4"/>
        <w:spacing w:before="0" w:beforeAutospacing="0" w:after="0" w:afterAutospacing="0" w:line="600" w:lineRule="exact"/>
        <w:ind w:firstLine="482"/>
        <w:jc w:val="center"/>
        <w:rPr>
          <w:rFonts w:hint="eastAsia" w:ascii="方正小标宋简体" w:eastAsia="方正小标宋简体"/>
          <w:color w:val="000000"/>
          <w:sz w:val="44"/>
          <w:szCs w:val="44"/>
        </w:rPr>
      </w:pPr>
      <w:r>
        <w:rPr>
          <w:rFonts w:hint="eastAsia" w:ascii="方正小标宋简体" w:hAnsi="黑体" w:eastAsia="方正小标宋简体"/>
          <w:color w:val="000000"/>
          <w:sz w:val="44"/>
          <w:szCs w:val="44"/>
        </w:rPr>
        <w:t>“定点入围”单位名录的通知</w:t>
      </w:r>
    </w:p>
    <w:p>
      <w:pPr>
        <w:pStyle w:val="4"/>
        <w:spacing w:before="0" w:beforeAutospacing="0" w:after="0" w:afterAutospacing="0" w:line="500" w:lineRule="exact"/>
        <w:jc w:val="both"/>
        <w:rPr>
          <w:rFonts w:hint="eastAsia"/>
          <w:color w:val="000000"/>
        </w:rPr>
      </w:pPr>
      <w:r>
        <w:rPr>
          <w:rFonts w:hint="eastAsia"/>
          <w:color w:val="000000"/>
        </w:rPr>
        <w:t> </w:t>
      </w:r>
    </w:p>
    <w:p>
      <w:pPr>
        <w:pStyle w:val="4"/>
        <w:spacing w:before="0" w:beforeAutospacing="0" w:after="0" w:afterAutospacing="0" w:line="58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各市州、县（市、区）住房城乡建设局（建委、规划建设局），湘江新区管委会环保住建局：</w:t>
      </w:r>
    </w:p>
    <w:p>
      <w:pPr>
        <w:pStyle w:val="4"/>
        <w:spacing w:before="0" w:beforeAutospacing="0" w:after="0" w:afterAutospacing="0" w:line="580" w:lineRule="exact"/>
        <w:ind w:firstLine="640" w:firstLineChars="200"/>
        <w:jc w:val="both"/>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落实《湖南人民政府关于第一批清理规范59项省政府部门行政审批中介服务事项的决定》（湘政发〔2016〕3号）和《湖南省发展和改革委员会关于取消、降标和放开一批涉企经营服务性收费的通知》（湘发改价服〔2016〕144号）要求，我厅及部分市州、县市区住房城乡建设部门相继决定从2017年开始通过政府购买服务方式委托相关机构对权限内房屋建筑和市政基础设施工程进行施工图审查。为便于各市州、县市区高效开展政府购买施工图审查服务工作，我厅经报请省财政厅批准同意，于2017年6月底至7月中旬委托湖南信元</w:t>
      </w:r>
    </w:p>
    <w:p>
      <w:pPr>
        <w:pStyle w:val="4"/>
        <w:spacing w:before="0" w:beforeAutospacing="0" w:after="0" w:afterAutospacing="0" w:line="300" w:lineRule="exact"/>
        <w:ind w:firstLine="482"/>
        <w:jc w:val="both"/>
        <w:rPr>
          <w:rFonts w:hint="eastAsia" w:ascii="Times New Roman" w:hAnsi="Times New Roman" w:eastAsia="仿宋_GB2312" w:cs="Times New Roman"/>
          <w:color w:val="000000"/>
          <w:sz w:val="32"/>
          <w:szCs w:val="32"/>
        </w:rPr>
      </w:pPr>
    </w:p>
    <w:p>
      <w:pPr>
        <w:pStyle w:val="4"/>
        <w:spacing w:before="0" w:beforeAutospacing="0" w:after="0" w:afterAutospacing="0" w:line="300" w:lineRule="exact"/>
        <w:ind w:firstLine="482"/>
        <w:jc w:val="both"/>
        <w:rPr>
          <w:rFonts w:hint="eastAsia" w:ascii="Times New Roman" w:hAnsi="Times New Roman" w:eastAsia="仿宋_GB2312" w:cs="Times New Roman"/>
          <w:color w:val="000000"/>
          <w:sz w:val="32"/>
          <w:szCs w:val="32"/>
        </w:rPr>
      </w:pPr>
    </w:p>
    <w:tbl>
      <w:tblPr>
        <w:tblStyle w:val="7"/>
        <w:tblW w:w="846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8460"/>
      </w:tblGrid>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Ex>
        <w:trPr>
          <w:trHeight w:val="156" w:hRule="atLeast"/>
        </w:trPr>
        <w:tc>
          <w:tcPr>
            <w:tcW w:w="8460" w:type="dxa"/>
            <w:tcBorders>
              <w:left w:val="nil"/>
              <w:bottom w:val="nil"/>
              <w:right w:val="nil"/>
            </w:tcBorders>
            <w:noWrap w:val="0"/>
            <w:vAlign w:val="top"/>
          </w:tcPr>
          <w:p>
            <w:pPr>
              <w:pStyle w:val="4"/>
              <w:spacing w:line="240" w:lineRule="exact"/>
              <w:ind w:firstLine="482"/>
              <w:jc w:val="both"/>
              <w:rPr>
                <w:rFonts w:hint="eastAsia" w:ascii="Times New Roman" w:hAnsi="Times New Roman" w:eastAsia="仿宋_GB2312" w:cs="Times New Roman"/>
                <w:color w:val="000000"/>
                <w:sz w:val="32"/>
                <w:szCs w:val="32"/>
              </w:rPr>
            </w:pPr>
          </w:p>
        </w:tc>
      </w:tr>
    </w:tbl>
    <w:p>
      <w:pPr>
        <w:pStyle w:val="4"/>
        <w:spacing w:before="0" w:beforeAutospacing="0" w:after="0" w:afterAutospacing="0" w:line="480" w:lineRule="auto"/>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工程项目管理有限公司，通过国内公开招标“定点入围”采购方式选定湖南建院建设工程设计咨询有限责任公司等24家单位为湖南省2017</w:t>
      </w:r>
      <w:r>
        <w:rPr>
          <w:rFonts w:hint="eastAsia" w:ascii="仿宋_GB2312" w:hAnsi="Times New Roman" w:eastAsia="仿宋_GB2312" w:cs="Times New Roman"/>
          <w:color w:val="000000"/>
          <w:sz w:val="32"/>
          <w:szCs w:val="32"/>
        </w:rPr>
        <w:t>－</w:t>
      </w:r>
      <w:r>
        <w:rPr>
          <w:rFonts w:ascii="Times New Roman" w:hAnsi="Times New Roman" w:eastAsia="仿宋_GB2312" w:cs="Times New Roman"/>
          <w:color w:val="000000"/>
          <w:sz w:val="32"/>
          <w:szCs w:val="32"/>
        </w:rPr>
        <w:t>2018年度政府购买施工图审查服务“定点入围”单位。同时，根据各定点入围单位的服务范围，分别建立了一般房屋建筑工程、特殊复杂房屋建筑工程、风景园林工程、市政道路工程、市政桥梁工程、城市隧道工程、市政（给水、排水、环境卫生）工程、市政（公共交通、载人索道、轨道交通）工程、城镇燃气工程、城市综合管廊工程等10个专业工程“定点入围”服务单位名录。现将上述名录予以公布（有效期截止到2018年12月31日），供全省各级住房城乡建设部门在开展政府购买施工图审查服务工作时选用。下一步我厅将对湖南省施工图管理信息系统进行功能调整，对各级住房城乡建设部门选择具体项目施工图审查服务承接主体进行信息化管理。</w:t>
      </w:r>
    </w:p>
    <w:p>
      <w:pPr>
        <w:pStyle w:val="4"/>
        <w:spacing w:before="0" w:beforeAutospacing="0" w:after="0" w:afterAutospacing="0" w:line="480" w:lineRule="auto"/>
        <w:ind w:firstLine="480"/>
        <w:jc w:val="both"/>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p>
    <w:p>
      <w:pPr>
        <w:pStyle w:val="4"/>
        <w:spacing w:before="0" w:beforeAutospacing="0" w:after="0" w:afterAutospacing="0" w:line="480" w:lineRule="auto"/>
        <w:ind w:firstLine="480"/>
        <w:jc w:val="both"/>
        <w:rPr>
          <w:rFonts w:hint="eastAsia" w:ascii="Times New Roman" w:hAnsi="Times New Roman" w:eastAsia="仿宋_GB2312" w:cs="Times New Roman"/>
          <w:color w:val="000000"/>
          <w:sz w:val="32"/>
          <w:szCs w:val="32"/>
        </w:rPr>
      </w:pPr>
    </w:p>
    <w:p>
      <w:pPr>
        <w:pStyle w:val="4"/>
        <w:wordWrap w:val="0"/>
        <w:spacing w:before="0" w:beforeAutospacing="0" w:after="0" w:afterAutospacing="0" w:line="480" w:lineRule="auto"/>
        <w:ind w:firstLine="480"/>
        <w:jc w:val="right"/>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湖南省住房和城乡建设厅</w:t>
      </w:r>
      <w:r>
        <w:rPr>
          <w:rFonts w:hint="eastAsia" w:ascii="Times New Roman" w:hAnsi="Times New Roman" w:eastAsia="仿宋_GB2312" w:cs="Times New Roman"/>
          <w:color w:val="000000"/>
          <w:sz w:val="32"/>
          <w:szCs w:val="32"/>
        </w:rPr>
        <w:t xml:space="preserve">     </w:t>
      </w:r>
    </w:p>
    <w:p>
      <w:pPr>
        <w:pStyle w:val="4"/>
        <w:wordWrap w:val="0"/>
        <w:spacing w:before="0" w:beforeAutospacing="0" w:after="0" w:afterAutospacing="0" w:line="480" w:lineRule="auto"/>
        <w:ind w:firstLine="480"/>
        <w:jc w:val="right"/>
        <w:rPr>
          <w:rFonts w:hint="eastAsia"/>
          <w:color w:val="000000"/>
        </w:rPr>
      </w:pPr>
      <w:r>
        <w:rPr>
          <w:rFonts w:ascii="Times New Roman" w:hAnsi="Times New Roman" w:eastAsia="仿宋_GB2312" w:cs="Times New Roman"/>
          <w:color w:val="000000"/>
          <w:sz w:val="32"/>
          <w:szCs w:val="32"/>
        </w:rPr>
        <w:t>                             2017年9月20日</w:t>
      </w:r>
      <w:r>
        <w:rPr>
          <w:rFonts w:hint="eastAsia"/>
          <w:color w:val="000000"/>
        </w:rPr>
        <w:t xml:space="preserve">        </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pStyle w:val="2"/>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湖南省2017-2018年度政府购买施工图</w:t>
      </w:r>
    </w:p>
    <w:p>
      <w:pPr>
        <w:pStyle w:val="2"/>
        <w:spacing w:after="154" w:afterLines="50" w:line="600" w:lineRule="exact"/>
        <w:jc w:val="center"/>
        <w:rPr>
          <w:rFonts w:hint="eastAsia" w:ascii="方正小标宋简体" w:hAnsi="Times New Roman" w:eastAsia="方正小标宋简体"/>
          <w:b/>
          <w:bCs/>
          <w:sz w:val="44"/>
          <w:szCs w:val="44"/>
        </w:rPr>
      </w:pPr>
      <w:r>
        <w:rPr>
          <w:rFonts w:hint="eastAsia" w:ascii="方正小标宋简体" w:hAnsi="Times New Roman" w:eastAsia="方正小标宋简体"/>
          <w:sz w:val="44"/>
          <w:szCs w:val="44"/>
        </w:rPr>
        <w:t>审查服务各专业工程“定点入围”单位名录</w:t>
      </w:r>
    </w:p>
    <w:tbl>
      <w:tblPr>
        <w:tblStyle w:val="7"/>
        <w:tblW w:w="99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4"/>
        <w:gridCol w:w="4252"/>
        <w:gridCol w:w="4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exact"/>
          <w:tblHeader/>
          <w:jc w:val="center"/>
        </w:trPr>
        <w:tc>
          <w:tcPr>
            <w:tcW w:w="964" w:type="dxa"/>
            <w:noWrap w:val="0"/>
            <w:vAlign w:val="center"/>
          </w:tcPr>
          <w:p>
            <w:pPr>
              <w:pStyle w:val="2"/>
              <w:spacing w:line="260" w:lineRule="exact"/>
              <w:jc w:val="center"/>
              <w:rPr>
                <w:rFonts w:hAnsi="宋体" w:eastAsia="宋体"/>
                <w:b/>
                <w:sz w:val="21"/>
              </w:rPr>
            </w:pPr>
            <w:r>
              <w:rPr>
                <w:rFonts w:hAnsi="宋体" w:eastAsia="宋体"/>
                <w:b/>
                <w:sz w:val="21"/>
              </w:rPr>
              <w:t>序号</w:t>
            </w:r>
          </w:p>
        </w:tc>
        <w:tc>
          <w:tcPr>
            <w:tcW w:w="4252" w:type="dxa"/>
            <w:noWrap w:val="0"/>
            <w:vAlign w:val="center"/>
          </w:tcPr>
          <w:p>
            <w:pPr>
              <w:pStyle w:val="2"/>
              <w:spacing w:line="260" w:lineRule="exact"/>
              <w:jc w:val="center"/>
              <w:rPr>
                <w:rFonts w:hAnsi="宋体" w:eastAsia="宋体"/>
                <w:b/>
                <w:sz w:val="21"/>
              </w:rPr>
            </w:pPr>
            <w:r>
              <w:rPr>
                <w:rFonts w:hAnsi="宋体" w:eastAsia="宋体"/>
                <w:b/>
                <w:sz w:val="21"/>
              </w:rPr>
              <w:t>专业</w:t>
            </w:r>
          </w:p>
        </w:tc>
        <w:tc>
          <w:tcPr>
            <w:tcW w:w="4704" w:type="dxa"/>
            <w:noWrap w:val="0"/>
            <w:vAlign w:val="center"/>
          </w:tcPr>
          <w:p>
            <w:pPr>
              <w:pStyle w:val="2"/>
              <w:spacing w:line="260" w:lineRule="exact"/>
              <w:jc w:val="center"/>
              <w:rPr>
                <w:rFonts w:hAnsi="宋体" w:eastAsia="宋体"/>
                <w:b/>
                <w:sz w:val="21"/>
              </w:rPr>
            </w:pPr>
            <w:r>
              <w:rPr>
                <w:rFonts w:hAnsi="宋体" w:eastAsia="宋体"/>
                <w:b/>
                <w:sz w:val="21"/>
              </w:rPr>
              <w:t>单位名单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bCs/>
                <w:szCs w:val="21"/>
              </w:rPr>
            </w:pPr>
            <w:r>
              <w:rPr>
                <w:rFonts w:ascii="宋体" w:hAnsi="宋体"/>
                <w:bCs/>
                <w:szCs w:val="21"/>
              </w:rPr>
              <w:t>1</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一般房屋建筑工程</w:t>
            </w:r>
          </w:p>
        </w:tc>
        <w:tc>
          <w:tcPr>
            <w:tcW w:w="4704" w:type="dxa"/>
            <w:noWrap w:val="0"/>
            <w:vAlign w:val="center"/>
          </w:tcPr>
          <w:p>
            <w:pPr>
              <w:autoSpaceDN w:val="0"/>
              <w:spacing w:line="260" w:lineRule="exact"/>
              <w:rPr>
                <w:rFonts w:ascii="宋体" w:hAnsi="宋体"/>
                <w:szCs w:val="21"/>
              </w:rPr>
            </w:pPr>
            <w:r>
              <w:rPr>
                <w:rFonts w:ascii="宋体" w:hAnsi="宋体"/>
                <w:szCs w:val="21"/>
              </w:rPr>
              <w:t>湖南建院建设工程设计咨询有限责任公司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湖南三嘉建设工程设计咨询有限公司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长沙市城规工程建设施工图审查咨询有限公司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株洲建设施工图审查有限公司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长沙经济技术开发区天润工程技术咨询有限公司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邵阳市施工图审查中心有限公司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中机国际（湖南）工程咨询有限责任公司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湖南长冶建设工程施工图审查有限公司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湖南省佳捷审图有限公司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湖南湖大工程咨询有限责任公司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长沙市金坤建设工程设计咨询有限公司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常德市联合施工图审查有限责任公司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湖南中大建设工程管理有限公司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湘潭市施工图审查服务有限公司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怀化市怀监建设工程施工图审查有限公司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湖南宏艺施工图审查咨询有限公司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长沙崇正建筑工程技术有限公司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湖南永衡施工图审查有限公司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bCs/>
                <w:szCs w:val="21"/>
              </w:rPr>
            </w:pPr>
            <w:r>
              <w:rPr>
                <w:rFonts w:ascii="宋体" w:hAnsi="宋体"/>
                <w:bCs/>
                <w:szCs w:val="21"/>
              </w:rPr>
              <w:t>2</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特殊复杂房屋建筑工程（主要指超限高层建筑、建筑高度超过100米高层建筑、需进行绿色建筑专项设计建筑、建筑面积超过10万平方米的城市综合体建筑以及建设单位认为功能非常复杂的建筑）</w:t>
            </w:r>
          </w:p>
        </w:tc>
        <w:tc>
          <w:tcPr>
            <w:tcW w:w="4704" w:type="dxa"/>
            <w:noWrap w:val="0"/>
            <w:vAlign w:val="center"/>
          </w:tcPr>
          <w:p>
            <w:pPr>
              <w:autoSpaceDN w:val="0"/>
              <w:spacing w:line="260" w:lineRule="exact"/>
              <w:rPr>
                <w:rFonts w:ascii="宋体" w:hAnsi="宋体"/>
                <w:szCs w:val="21"/>
              </w:rPr>
            </w:pPr>
            <w:r>
              <w:rPr>
                <w:rFonts w:ascii="宋体" w:hAnsi="宋体"/>
                <w:szCs w:val="21"/>
              </w:rPr>
              <w:t>湖南建院建设工程设计咨询有限责任公司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湖南三嘉建设工程设计咨询有限公司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长沙市城规工程建设施工图审查咨询有限公司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长沙经济技术开发区天润工程技术咨询有限公司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中机国际（湖南）工程咨询有限责任公司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湖南湖大工程咨询有限责任公司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szCs w:val="21"/>
              </w:rPr>
            </w:pPr>
            <w:r>
              <w:rPr>
                <w:rFonts w:ascii="宋体" w:hAnsi="宋体"/>
                <w:szCs w:val="21"/>
              </w:rPr>
              <w:t>3</w:t>
            </w:r>
          </w:p>
        </w:tc>
        <w:tc>
          <w:tcPr>
            <w:tcW w:w="4252" w:type="dxa"/>
            <w:vMerge w:val="restart"/>
            <w:noWrap w:val="0"/>
            <w:vAlign w:val="center"/>
          </w:tcPr>
          <w:p>
            <w:pPr>
              <w:autoSpaceDN w:val="0"/>
              <w:spacing w:line="260" w:lineRule="exact"/>
              <w:jc w:val="center"/>
              <w:rPr>
                <w:rFonts w:hint="eastAsia" w:ascii="宋体" w:hAnsi="宋体"/>
                <w:bCs/>
                <w:szCs w:val="21"/>
              </w:rPr>
            </w:pPr>
            <w:r>
              <w:rPr>
                <w:rFonts w:ascii="宋体" w:hAnsi="宋体"/>
                <w:bCs/>
                <w:szCs w:val="21"/>
              </w:rPr>
              <w:t>市政桥梁工程（含既有市政道路又有</w:t>
            </w:r>
          </w:p>
          <w:p>
            <w:pPr>
              <w:autoSpaceDN w:val="0"/>
              <w:spacing w:line="260" w:lineRule="exact"/>
              <w:jc w:val="center"/>
              <w:rPr>
                <w:rFonts w:ascii="宋体" w:hAnsi="宋体"/>
                <w:szCs w:val="21"/>
              </w:rPr>
            </w:pPr>
            <w:r>
              <w:rPr>
                <w:rFonts w:ascii="宋体" w:hAnsi="宋体"/>
                <w:bCs/>
                <w:szCs w:val="21"/>
              </w:rPr>
              <w:t>市政桥梁的建设工程）</w:t>
            </w: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湖南省建设工程项目管理咨询有限公司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长沙市城规工程建设施工图审查咨询有限公司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长沙经济技术开发区天润工程技术咨询有限公司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湖南湖大工程咨询有限责任公司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长沙市金坤建设工程设计咨询有限公司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广州地铁设计院施工图咨询有限公司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szCs w:val="21"/>
              </w:rPr>
            </w:pPr>
            <w:r>
              <w:rPr>
                <w:rFonts w:ascii="宋体" w:hAnsi="宋体"/>
                <w:szCs w:val="21"/>
              </w:rPr>
              <w:t>4</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市政道路工程</w:t>
            </w:r>
          </w:p>
        </w:tc>
        <w:tc>
          <w:tcPr>
            <w:tcW w:w="4704" w:type="dxa"/>
            <w:noWrap w:val="0"/>
            <w:vAlign w:val="center"/>
          </w:tcPr>
          <w:p>
            <w:pPr>
              <w:autoSpaceDN w:val="0"/>
              <w:spacing w:line="260" w:lineRule="exact"/>
              <w:rPr>
                <w:rFonts w:ascii="宋体" w:hAnsi="宋体"/>
                <w:szCs w:val="21"/>
              </w:rPr>
            </w:pPr>
            <w:r>
              <w:rPr>
                <w:rFonts w:ascii="宋体" w:hAnsi="宋体"/>
                <w:szCs w:val="21"/>
              </w:rPr>
              <w:t>长沙市城规工程建设施工图审查咨询有限公司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湖南省建设工程项目管理咨询有限公司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湖南建院建设工程设计咨询有限责任公司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长沙经济技术开发区天润工程技术咨询有限公司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邵阳市施工图审查中心有限公司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株洲建设施工图审查有限公司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湖南省佳捷审图有限公司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湖南湖大工程咨询有限责任公司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长沙市金坤建设工程设计咨询有限公司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广州地铁设计院施工图咨询有限公司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湖南中大建设工程管理有限公司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湘潭市施工图审查服务有限公司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怀化市怀监建设工程施工图审查有限公司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湖南宏艺施工图审查咨询有限公司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jc w:val="center"/>
        </w:trPr>
        <w:tc>
          <w:tcPr>
            <w:tcW w:w="964" w:type="dxa"/>
            <w:vMerge w:val="restart"/>
            <w:noWrap w:val="0"/>
            <w:vAlign w:val="center"/>
          </w:tcPr>
          <w:p>
            <w:pPr>
              <w:autoSpaceDN w:val="0"/>
              <w:spacing w:line="260" w:lineRule="exact"/>
              <w:jc w:val="center"/>
              <w:rPr>
                <w:rFonts w:ascii="宋体" w:hAnsi="宋体"/>
                <w:szCs w:val="21"/>
              </w:rPr>
            </w:pPr>
            <w:r>
              <w:rPr>
                <w:rFonts w:ascii="宋体" w:hAnsi="宋体"/>
                <w:szCs w:val="21"/>
              </w:rPr>
              <w:t>5</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市政（公共交通、载人索道、轨道交通）工程</w:t>
            </w:r>
          </w:p>
        </w:tc>
        <w:tc>
          <w:tcPr>
            <w:tcW w:w="4704" w:type="dxa"/>
            <w:noWrap w:val="0"/>
            <w:vAlign w:val="center"/>
          </w:tcPr>
          <w:p>
            <w:pPr>
              <w:autoSpaceDN w:val="0"/>
              <w:spacing w:line="260" w:lineRule="exact"/>
              <w:rPr>
                <w:rFonts w:ascii="宋体" w:hAnsi="宋体"/>
                <w:szCs w:val="21"/>
              </w:rPr>
            </w:pPr>
            <w:r>
              <w:rPr>
                <w:rFonts w:ascii="宋体" w:hAnsi="宋体"/>
                <w:szCs w:val="21"/>
              </w:rPr>
              <w:t>武汉铁四院工程咨询有限公司、湖南建院建设工程设计咨询有限责任公司（联合体）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广东舍卫工程技术咨询有限公司、长沙市城规工程建设施工图审查咨询有限公司（联合体）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北京城建信捷轨道交通工程咨询有限公司、中机国际（湖南）工程咨询有限责任公司（联合体）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重庆中煤科工工程技术咨询有限公司、湖南省建设工程项目管理咨询有限公司（联合体）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广州地铁设计院施工图咨询有限公司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szCs w:val="21"/>
              </w:rPr>
            </w:pPr>
            <w:r>
              <w:rPr>
                <w:rFonts w:ascii="宋体" w:hAnsi="宋体"/>
                <w:szCs w:val="21"/>
              </w:rPr>
              <w:t>6</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市政（给水、排水、环境卫生）工程</w:t>
            </w:r>
          </w:p>
        </w:tc>
        <w:tc>
          <w:tcPr>
            <w:tcW w:w="4704" w:type="dxa"/>
            <w:noWrap w:val="0"/>
            <w:vAlign w:val="center"/>
          </w:tcPr>
          <w:p>
            <w:pPr>
              <w:autoSpaceDN w:val="0"/>
              <w:spacing w:line="260" w:lineRule="exact"/>
              <w:rPr>
                <w:rFonts w:ascii="宋体" w:hAnsi="宋体"/>
                <w:szCs w:val="21"/>
              </w:rPr>
            </w:pPr>
            <w:r>
              <w:rPr>
                <w:rFonts w:ascii="宋体" w:hAnsi="宋体"/>
                <w:szCs w:val="21"/>
              </w:rPr>
              <w:t>湖南建院建设工程设计咨询有限责任公司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中机国际（湖南）工程咨询有限责任公司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szCs w:val="21"/>
              </w:rPr>
            </w:pPr>
            <w:r>
              <w:rPr>
                <w:rFonts w:ascii="宋体" w:hAnsi="宋体"/>
                <w:szCs w:val="21"/>
              </w:rPr>
              <w:t>7</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城镇燃气工程</w:t>
            </w:r>
          </w:p>
        </w:tc>
        <w:tc>
          <w:tcPr>
            <w:tcW w:w="4704" w:type="dxa"/>
            <w:noWrap w:val="0"/>
            <w:vAlign w:val="center"/>
          </w:tcPr>
          <w:p>
            <w:pPr>
              <w:spacing w:line="260" w:lineRule="exact"/>
              <w:rPr>
                <w:rFonts w:ascii="宋体" w:hAnsi="宋体"/>
                <w:szCs w:val="21"/>
              </w:rPr>
            </w:pPr>
            <w:r>
              <w:rPr>
                <w:rFonts w:ascii="宋体" w:hAnsi="宋体"/>
                <w:szCs w:val="21"/>
              </w:rPr>
              <w:t>中机国际（湖南）工程咨询有限责任公司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湖南建院建设工程设计咨询有限责任公司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restart"/>
            <w:noWrap w:val="0"/>
            <w:vAlign w:val="center"/>
          </w:tcPr>
          <w:p>
            <w:pPr>
              <w:autoSpaceDN w:val="0"/>
              <w:spacing w:line="260" w:lineRule="exact"/>
              <w:jc w:val="center"/>
              <w:rPr>
                <w:rFonts w:ascii="宋体" w:hAnsi="宋体"/>
                <w:szCs w:val="21"/>
              </w:rPr>
            </w:pPr>
            <w:r>
              <w:rPr>
                <w:rFonts w:ascii="宋体" w:hAnsi="宋体"/>
                <w:szCs w:val="21"/>
              </w:rPr>
              <w:t>8</w:t>
            </w:r>
          </w:p>
        </w:tc>
        <w:tc>
          <w:tcPr>
            <w:tcW w:w="4252" w:type="dxa"/>
            <w:vMerge w:val="restart"/>
            <w:noWrap w:val="0"/>
            <w:vAlign w:val="center"/>
          </w:tcPr>
          <w:p>
            <w:pPr>
              <w:pStyle w:val="2"/>
              <w:spacing w:line="260" w:lineRule="exact"/>
              <w:jc w:val="center"/>
              <w:rPr>
                <w:rFonts w:hAnsi="宋体" w:eastAsia="宋体"/>
                <w:sz w:val="21"/>
              </w:rPr>
            </w:pPr>
            <w:r>
              <w:rPr>
                <w:rFonts w:hAnsi="宋体" w:eastAsia="宋体"/>
                <w:bCs/>
                <w:sz w:val="21"/>
              </w:rPr>
              <w:t>城市综合管廊工程</w:t>
            </w:r>
          </w:p>
        </w:tc>
        <w:tc>
          <w:tcPr>
            <w:tcW w:w="4704" w:type="dxa"/>
            <w:noWrap w:val="0"/>
            <w:vAlign w:val="center"/>
          </w:tcPr>
          <w:p>
            <w:pPr>
              <w:spacing w:line="260" w:lineRule="exact"/>
              <w:rPr>
                <w:rFonts w:ascii="宋体" w:hAnsi="宋体"/>
                <w:szCs w:val="21"/>
              </w:rPr>
            </w:pPr>
            <w:r>
              <w:rPr>
                <w:rFonts w:ascii="宋体" w:hAnsi="宋体"/>
                <w:szCs w:val="21"/>
              </w:rPr>
              <w:t>湖南建院建设工程设计咨询有限责任公司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pStyle w:val="2"/>
              <w:spacing w:line="260" w:lineRule="exact"/>
              <w:jc w:val="center"/>
              <w:rPr>
                <w:rFonts w:hAnsi="宋体" w:eastAsia="宋体"/>
                <w:sz w:val="21"/>
              </w:rPr>
            </w:pPr>
          </w:p>
        </w:tc>
        <w:tc>
          <w:tcPr>
            <w:tcW w:w="4704" w:type="dxa"/>
            <w:noWrap w:val="0"/>
            <w:vAlign w:val="center"/>
          </w:tcPr>
          <w:p>
            <w:pPr>
              <w:spacing w:line="260" w:lineRule="exact"/>
              <w:rPr>
                <w:rFonts w:ascii="宋体" w:hAnsi="宋体"/>
                <w:szCs w:val="21"/>
              </w:rPr>
            </w:pPr>
            <w:r>
              <w:rPr>
                <w:rFonts w:ascii="宋体" w:hAnsi="宋体"/>
                <w:szCs w:val="21"/>
              </w:rPr>
              <w:t>长沙市城规工程建设施工图审查咨询有限公司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pStyle w:val="2"/>
              <w:spacing w:line="260" w:lineRule="exact"/>
              <w:jc w:val="center"/>
              <w:rPr>
                <w:rFonts w:hAnsi="宋体" w:eastAsia="宋体"/>
                <w:sz w:val="21"/>
              </w:rPr>
            </w:pPr>
          </w:p>
        </w:tc>
        <w:tc>
          <w:tcPr>
            <w:tcW w:w="4704" w:type="dxa"/>
            <w:noWrap w:val="0"/>
            <w:vAlign w:val="center"/>
          </w:tcPr>
          <w:p>
            <w:pPr>
              <w:autoSpaceDN w:val="0"/>
              <w:spacing w:line="260" w:lineRule="exact"/>
              <w:rPr>
                <w:rFonts w:ascii="宋体" w:hAnsi="宋体"/>
                <w:szCs w:val="21"/>
              </w:rPr>
            </w:pPr>
            <w:r>
              <w:rPr>
                <w:rFonts w:ascii="宋体" w:hAnsi="宋体"/>
                <w:szCs w:val="21"/>
              </w:rPr>
              <w:t>中机国际（湖南）工程咨询有限责任公司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pStyle w:val="2"/>
              <w:spacing w:line="260" w:lineRule="exact"/>
              <w:jc w:val="center"/>
              <w:rPr>
                <w:rFonts w:hAnsi="宋体" w:eastAsia="宋体"/>
                <w:sz w:val="21"/>
              </w:rPr>
            </w:pPr>
          </w:p>
        </w:tc>
        <w:tc>
          <w:tcPr>
            <w:tcW w:w="4704" w:type="dxa"/>
            <w:noWrap w:val="0"/>
            <w:vAlign w:val="center"/>
          </w:tcPr>
          <w:p>
            <w:pPr>
              <w:spacing w:line="260" w:lineRule="exact"/>
              <w:rPr>
                <w:rFonts w:ascii="宋体" w:hAnsi="宋体"/>
                <w:szCs w:val="21"/>
              </w:rPr>
            </w:pPr>
            <w:r>
              <w:rPr>
                <w:rFonts w:ascii="宋体" w:hAnsi="宋体"/>
                <w:szCs w:val="21"/>
              </w:rPr>
              <w:t>长沙经济技术开发区天润工程技术咨询有限公司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pStyle w:val="2"/>
              <w:spacing w:line="260" w:lineRule="exact"/>
              <w:jc w:val="center"/>
              <w:rPr>
                <w:rFonts w:hAnsi="宋体" w:eastAsia="宋体"/>
                <w:sz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szCs w:val="21"/>
              </w:rPr>
            </w:pPr>
            <w:r>
              <w:rPr>
                <w:rFonts w:ascii="宋体" w:hAnsi="宋体"/>
                <w:szCs w:val="21"/>
              </w:rPr>
              <w:t>9</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风景园林工程</w:t>
            </w:r>
          </w:p>
        </w:tc>
        <w:tc>
          <w:tcPr>
            <w:tcW w:w="4704" w:type="dxa"/>
            <w:noWrap w:val="0"/>
            <w:vAlign w:val="center"/>
          </w:tcPr>
          <w:p>
            <w:pPr>
              <w:autoSpaceDN w:val="0"/>
              <w:spacing w:line="260" w:lineRule="exact"/>
              <w:rPr>
                <w:rFonts w:ascii="宋体" w:hAnsi="宋体"/>
                <w:szCs w:val="21"/>
              </w:rPr>
            </w:pPr>
            <w:r>
              <w:rPr>
                <w:rFonts w:ascii="宋体" w:hAnsi="宋体"/>
                <w:szCs w:val="21"/>
              </w:rPr>
              <w:t>湖南建院建设工程设计咨询有限责任公司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湖南三嘉建设工程设计咨询有限公司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长沙市城规工程建设施工图审查咨询有限公司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restart"/>
            <w:noWrap w:val="0"/>
            <w:vAlign w:val="center"/>
          </w:tcPr>
          <w:p>
            <w:pPr>
              <w:autoSpaceDN w:val="0"/>
              <w:spacing w:line="260" w:lineRule="exact"/>
              <w:jc w:val="center"/>
              <w:rPr>
                <w:rFonts w:ascii="宋体" w:hAnsi="宋体"/>
                <w:bCs/>
                <w:szCs w:val="21"/>
              </w:rPr>
            </w:pPr>
            <w:r>
              <w:rPr>
                <w:rFonts w:ascii="宋体" w:hAnsi="宋体"/>
                <w:bCs/>
                <w:szCs w:val="21"/>
              </w:rPr>
              <w:t>10</w:t>
            </w:r>
          </w:p>
        </w:tc>
        <w:tc>
          <w:tcPr>
            <w:tcW w:w="4252" w:type="dxa"/>
            <w:vMerge w:val="restart"/>
            <w:noWrap w:val="0"/>
            <w:vAlign w:val="center"/>
          </w:tcPr>
          <w:p>
            <w:pPr>
              <w:autoSpaceDN w:val="0"/>
              <w:spacing w:line="260" w:lineRule="exact"/>
              <w:jc w:val="center"/>
              <w:rPr>
                <w:rFonts w:ascii="宋体" w:hAnsi="宋体"/>
                <w:szCs w:val="21"/>
              </w:rPr>
            </w:pPr>
            <w:r>
              <w:rPr>
                <w:rFonts w:ascii="宋体" w:hAnsi="宋体"/>
                <w:bCs/>
                <w:szCs w:val="21"/>
              </w:rPr>
              <w:t>城市隧道工程</w:t>
            </w:r>
          </w:p>
        </w:tc>
        <w:tc>
          <w:tcPr>
            <w:tcW w:w="4704" w:type="dxa"/>
            <w:noWrap w:val="0"/>
            <w:vAlign w:val="center"/>
          </w:tcPr>
          <w:p>
            <w:pPr>
              <w:autoSpaceDN w:val="0"/>
              <w:spacing w:line="260" w:lineRule="exact"/>
              <w:rPr>
                <w:rFonts w:ascii="宋体" w:hAnsi="宋体"/>
                <w:szCs w:val="21"/>
              </w:rPr>
            </w:pPr>
            <w:r>
              <w:rPr>
                <w:rFonts w:ascii="宋体" w:hAnsi="宋体"/>
                <w:szCs w:val="21"/>
              </w:rPr>
              <w:t>长沙市城规工程建设施工图审查咨询有限公司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广东舍卫工程技术咨询有限公司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964" w:type="dxa"/>
            <w:vMerge w:val="continue"/>
            <w:noWrap w:val="0"/>
            <w:vAlign w:val="center"/>
          </w:tcPr>
          <w:p>
            <w:pPr>
              <w:autoSpaceDN w:val="0"/>
              <w:spacing w:line="260" w:lineRule="exact"/>
              <w:jc w:val="center"/>
              <w:rPr>
                <w:rFonts w:ascii="宋体" w:hAnsi="宋体"/>
                <w:szCs w:val="21"/>
              </w:rPr>
            </w:pPr>
          </w:p>
        </w:tc>
        <w:tc>
          <w:tcPr>
            <w:tcW w:w="4252" w:type="dxa"/>
            <w:vMerge w:val="continue"/>
            <w:noWrap w:val="0"/>
            <w:vAlign w:val="center"/>
          </w:tcPr>
          <w:p>
            <w:pPr>
              <w:autoSpaceDN w:val="0"/>
              <w:spacing w:line="260" w:lineRule="exact"/>
              <w:jc w:val="center"/>
              <w:rPr>
                <w:rFonts w:ascii="宋体" w:hAnsi="宋体"/>
                <w:szCs w:val="21"/>
              </w:rPr>
            </w:pPr>
          </w:p>
        </w:tc>
        <w:tc>
          <w:tcPr>
            <w:tcW w:w="4704" w:type="dxa"/>
            <w:noWrap w:val="0"/>
            <w:vAlign w:val="center"/>
          </w:tcPr>
          <w:p>
            <w:pPr>
              <w:autoSpaceDN w:val="0"/>
              <w:spacing w:line="260" w:lineRule="exact"/>
              <w:rPr>
                <w:rFonts w:ascii="宋体" w:hAnsi="宋体"/>
                <w:szCs w:val="21"/>
              </w:rPr>
            </w:pPr>
            <w:r>
              <w:rPr>
                <w:rFonts w:ascii="宋体" w:hAnsi="宋体"/>
                <w:szCs w:val="21"/>
              </w:rPr>
              <w:t>广州地铁设计院施工图咨询有限公司</w:t>
            </w:r>
          </w:p>
        </w:tc>
      </w:tr>
    </w:tbl>
    <w:p/>
    <w:p>
      <w:pPr>
        <w:spacing w:line="600" w:lineRule="exact"/>
        <w:rPr>
          <w:rFonts w:hint="eastAsia" w:ascii="仿宋_GB2312" w:hAnsi="仿宋" w:eastAsia="仿宋_GB2312"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C00DA"/>
    <w:rsid w:val="47FC00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kern w:val="0"/>
      <w:sz w:val="20"/>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2018-12-17T07:06:00Z</dcterms:created>
  <dc:creator>Jason</dc:creator>
  <cp:lastModifiedBy>Jason</cp:lastModifiedBy>
  <dcterms:modified xsi:type="dcterms:W3CDTF">2018-12-17T07:07:11Z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