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水东镇人民政府部门决算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第一部分水东镇人民政府概况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水东镇人民政府概况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hint="eastAsia" w:asciiTheme="minorEastAsia" w:hAnsiTheme="minorEastAsia"/>
          <w:sz w:val="32"/>
          <w:szCs w:val="32"/>
        </w:rPr>
      </w:pPr>
      <w:r>
        <w:rPr>
          <w:rFonts w:hint="eastAsia" w:asciiTheme="minorEastAsia" w:hAnsiTheme="minorEastAsia"/>
          <w:sz w:val="32"/>
          <w:szCs w:val="32"/>
        </w:rPr>
        <w:t>1、促进经济发展。制定实施本</w:t>
      </w:r>
      <w:r>
        <w:rPr>
          <w:rFonts w:hint="eastAsia" w:asciiTheme="minorEastAsia" w:hAnsiTheme="minorEastAsia"/>
          <w:sz w:val="32"/>
          <w:szCs w:val="32"/>
          <w:lang w:eastAsia="zh-CN"/>
        </w:rPr>
        <w:t>镇</w:t>
      </w:r>
      <w:r>
        <w:rPr>
          <w:rFonts w:hint="eastAsia" w:asciiTheme="minorEastAsia" w:hAnsiTheme="minorEastAsia"/>
          <w:sz w:val="32"/>
          <w:szCs w:val="32"/>
        </w:rPr>
        <w:t>经济发展规划，指导农村经济发展，推进农业结构调整，促进经济增长方式转变，发展壮大乡村集体经济；大力发展非公有制经济，推进农村市场经济体系的建设，发展现代农业和二、三产业，促进农民增收。</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2、加强社会管理。制定实施本</w:t>
      </w:r>
      <w:r>
        <w:rPr>
          <w:rFonts w:hint="eastAsia" w:asciiTheme="minorEastAsia" w:hAnsiTheme="minorEastAsia"/>
          <w:sz w:val="32"/>
          <w:szCs w:val="32"/>
          <w:lang w:eastAsia="zh-CN"/>
        </w:rPr>
        <w:t>镇</w:t>
      </w:r>
      <w:r>
        <w:rPr>
          <w:rFonts w:hint="eastAsia" w:asciiTheme="minorEastAsia" w:hAnsiTheme="minorEastAsia"/>
          <w:sz w:val="32"/>
          <w:szCs w:val="32"/>
        </w:rPr>
        <w:t>社会发展规划，负责抓好义务教育、人口和计划生育、耕地和生态环境保护、民政事务、救灾救助、就业培训、社会保障、劳动关系协调和新型合作医疗实施等工作。保障少数民族的权利和尊重少数民族的风俗习惯。依法履行上级赋予的监督管理权和行政处罚权，配合上级行政执法部门做好相关的行政执法工作。加强农村精神文明建设，促进农村社会事业发展。加强对上级部门派驻机构的协调和监督，强化乡镇财政、村级财务和集体资产的监督管理，建立健全减轻农民负担的监督管理机制，完善区域性、突发性事件的处置工作机制。</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3、搞好公共服务。加强乡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4、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ind w:firstLine="800" w:firstLineChars="250"/>
        <w:jc w:val="left"/>
        <w:rPr>
          <w:rFonts w:asciiTheme="minorEastAsia" w:hAnsiTheme="minorEastAsia"/>
          <w:sz w:val="32"/>
          <w:szCs w:val="32"/>
        </w:rPr>
      </w:pPr>
      <w:r>
        <w:rPr>
          <w:rFonts w:hint="eastAsia" w:asciiTheme="minorEastAsia" w:hAnsiTheme="minorEastAsia"/>
          <w:sz w:val="32"/>
          <w:szCs w:val="32"/>
        </w:rPr>
        <w:t>5、巩固基层政权。加强党的思想建设、组织建设、作风建设和制度建设，深化党风廉政建设，强化乡人大对乡政府的监督，切实加强和改进对村级党组织的领导和对村民委员会的指导，扩大和健全农村基层民主，充分发挥工会、共青团、妇联等群众团体的桥梁纽带作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highlight w:val="none"/>
        </w:rPr>
      </w:pPr>
      <w:r>
        <w:rPr>
          <w:rFonts w:hint="eastAsia" w:asciiTheme="minorEastAsia" w:hAnsiTheme="minorEastAsia"/>
          <w:bCs/>
          <w:kern w:val="0"/>
          <w:sz w:val="32"/>
          <w:szCs w:val="32"/>
        </w:rPr>
        <w:t>（一）内设机构设置。水东镇人民政府内设机构包括：人大、党委、政府机关、财政所、政务服务中心、农业综合服务中心、社会事务服务中心、执法大队、退役军人事务管理站等部门。</w:t>
      </w:r>
      <w:r>
        <w:rPr>
          <w:rFonts w:hint="eastAsia" w:asciiTheme="minorEastAsia" w:hAnsiTheme="minorEastAsia"/>
          <w:bCs/>
          <w:kern w:val="0"/>
          <w:sz w:val="32"/>
          <w:szCs w:val="32"/>
          <w:highlight w:val="none"/>
        </w:rPr>
        <w:t>本单位行政编制人数</w:t>
      </w:r>
      <w:r>
        <w:rPr>
          <w:rFonts w:hint="eastAsia" w:asciiTheme="minorEastAsia" w:hAnsiTheme="minorEastAsia"/>
          <w:bCs/>
          <w:kern w:val="0"/>
          <w:sz w:val="32"/>
          <w:szCs w:val="32"/>
          <w:highlight w:val="none"/>
          <w:lang w:val="en-US" w:eastAsia="zh-CN"/>
        </w:rPr>
        <w:t>25</w:t>
      </w:r>
      <w:r>
        <w:rPr>
          <w:rFonts w:hint="eastAsia" w:asciiTheme="minorEastAsia" w:hAnsiTheme="minorEastAsia"/>
          <w:bCs/>
          <w:kern w:val="0"/>
          <w:sz w:val="32"/>
          <w:szCs w:val="32"/>
          <w:highlight w:val="none"/>
        </w:rPr>
        <w:t>人，事业编制人数40人，</w:t>
      </w:r>
      <w:r>
        <w:rPr>
          <w:rFonts w:hint="eastAsia" w:asciiTheme="minorEastAsia" w:hAnsiTheme="minorEastAsia"/>
          <w:bCs/>
          <w:kern w:val="0"/>
          <w:sz w:val="32"/>
          <w:szCs w:val="32"/>
          <w:highlight w:val="none"/>
          <w:lang w:eastAsia="zh-CN"/>
        </w:rPr>
        <w:t>工勤编制</w:t>
      </w:r>
      <w:r>
        <w:rPr>
          <w:rFonts w:hint="eastAsia" w:asciiTheme="minorEastAsia" w:hAnsiTheme="minorEastAsia"/>
          <w:bCs/>
          <w:kern w:val="0"/>
          <w:sz w:val="32"/>
          <w:szCs w:val="32"/>
          <w:highlight w:val="none"/>
          <w:lang w:val="en-US" w:eastAsia="zh-CN"/>
        </w:rPr>
        <w:t>1人，</w:t>
      </w:r>
      <w:r>
        <w:rPr>
          <w:rFonts w:hint="eastAsia" w:asciiTheme="minorEastAsia" w:hAnsiTheme="minorEastAsia"/>
          <w:bCs/>
          <w:kern w:val="0"/>
          <w:sz w:val="32"/>
          <w:szCs w:val="32"/>
          <w:highlight w:val="none"/>
        </w:rPr>
        <w:t>企业差额1人，实有人数6</w:t>
      </w:r>
      <w:r>
        <w:rPr>
          <w:rFonts w:hint="eastAsia" w:asciiTheme="minorEastAsia" w:hAnsiTheme="minorEastAsia"/>
          <w:bCs/>
          <w:kern w:val="0"/>
          <w:sz w:val="32"/>
          <w:szCs w:val="32"/>
          <w:highlight w:val="none"/>
          <w:lang w:val="en-US" w:eastAsia="zh-CN"/>
        </w:rPr>
        <w:t>7</w:t>
      </w:r>
      <w:r>
        <w:rPr>
          <w:rFonts w:hint="eastAsia" w:asciiTheme="minorEastAsia" w:hAnsiTheme="minorEastAsia"/>
          <w:bCs/>
          <w:kern w:val="0"/>
          <w:sz w:val="32"/>
          <w:szCs w:val="32"/>
          <w:highlight w:val="none"/>
        </w:rPr>
        <w:t>人，其中行政在职</w:t>
      </w:r>
      <w:r>
        <w:rPr>
          <w:rFonts w:hint="eastAsia" w:asciiTheme="minorEastAsia" w:hAnsiTheme="minorEastAsia"/>
          <w:bCs/>
          <w:kern w:val="0"/>
          <w:sz w:val="32"/>
          <w:szCs w:val="32"/>
          <w:highlight w:val="none"/>
          <w:lang w:val="en-US" w:eastAsia="zh-CN"/>
        </w:rPr>
        <w:t>22</w:t>
      </w:r>
      <w:r>
        <w:rPr>
          <w:rFonts w:hint="eastAsia" w:asciiTheme="minorEastAsia" w:hAnsiTheme="minorEastAsia"/>
          <w:bCs/>
          <w:kern w:val="0"/>
          <w:sz w:val="32"/>
          <w:szCs w:val="32"/>
          <w:highlight w:val="none"/>
        </w:rPr>
        <w:t>人，事业在职</w:t>
      </w:r>
      <w:r>
        <w:rPr>
          <w:rFonts w:hint="eastAsia" w:asciiTheme="minorEastAsia" w:hAnsiTheme="minorEastAsia"/>
          <w:bCs/>
          <w:kern w:val="0"/>
          <w:sz w:val="32"/>
          <w:szCs w:val="32"/>
          <w:highlight w:val="none"/>
          <w:lang w:val="en-US" w:eastAsia="zh-CN"/>
        </w:rPr>
        <w:t>36</w:t>
      </w:r>
      <w:r>
        <w:rPr>
          <w:rFonts w:hint="eastAsia" w:asciiTheme="minorEastAsia" w:hAnsiTheme="minorEastAsia"/>
          <w:bCs/>
          <w:kern w:val="0"/>
          <w:sz w:val="32"/>
          <w:szCs w:val="32"/>
          <w:highlight w:val="none"/>
        </w:rPr>
        <w:t>人，企业差额1人，退休8人。公务车辆核定编制1辆，实有公务车辆1辆。</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（二）决算单位构成。水东镇人民政府单位202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年部门决算汇总公开单位构成包括：水东镇人民政府本级以及人大、党委、政府机关、财政所、政务服务中心、农业综合服务中心、社会事务服务中心、执法大队、退役军人事务管理站等部门。</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3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87"/>
        <w:gridCol w:w="456"/>
        <w:gridCol w:w="569"/>
        <w:gridCol w:w="2781"/>
        <w:gridCol w:w="3187"/>
        <w:gridCol w:w="216"/>
        <w:gridCol w:w="240"/>
        <w:gridCol w:w="323"/>
        <w:gridCol w:w="3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13986"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3187" w:type="dxa"/>
            <w:shd w:val="clear" w:color="auto" w:fill="auto"/>
            <w:vAlign w:val="bottom"/>
          </w:tcPr>
          <w:p>
            <w:pPr>
              <w:rPr>
                <w:rFonts w:hint="eastAsia" w:ascii="Arial" w:hAnsi="Arial" w:cs="Arial"/>
                <w:i w:val="0"/>
                <w:color w:val="000000"/>
                <w:sz w:val="20"/>
                <w:szCs w:val="20"/>
                <w:u w:val="none"/>
              </w:rPr>
            </w:pPr>
          </w:p>
        </w:tc>
        <w:tc>
          <w:tcPr>
            <w:tcW w:w="456" w:type="dxa"/>
            <w:shd w:val="clear" w:color="auto" w:fill="auto"/>
            <w:vAlign w:val="bottom"/>
          </w:tcPr>
          <w:p>
            <w:pPr>
              <w:rPr>
                <w:rFonts w:hint="default" w:ascii="Arial" w:hAnsi="Arial" w:cs="Arial"/>
                <w:i w:val="0"/>
                <w:color w:val="000000"/>
                <w:sz w:val="20"/>
                <w:szCs w:val="20"/>
                <w:u w:val="none"/>
              </w:rPr>
            </w:pPr>
          </w:p>
        </w:tc>
        <w:tc>
          <w:tcPr>
            <w:tcW w:w="3350" w:type="dxa"/>
            <w:gridSpan w:val="2"/>
            <w:shd w:val="clear" w:color="auto" w:fill="auto"/>
            <w:vAlign w:val="bottom"/>
          </w:tcPr>
          <w:p>
            <w:pPr>
              <w:rPr>
                <w:rFonts w:hint="default" w:ascii="Arial" w:hAnsi="Arial" w:cs="Arial"/>
                <w:i w:val="0"/>
                <w:color w:val="000000"/>
                <w:sz w:val="20"/>
                <w:szCs w:val="20"/>
                <w:u w:val="none"/>
              </w:rPr>
            </w:pPr>
          </w:p>
        </w:tc>
        <w:tc>
          <w:tcPr>
            <w:tcW w:w="3187" w:type="dxa"/>
            <w:shd w:val="clear" w:color="auto" w:fill="auto"/>
            <w:vAlign w:val="bottom"/>
          </w:tcPr>
          <w:p>
            <w:pPr>
              <w:rPr>
                <w:rFonts w:hint="default" w:ascii="Arial" w:hAnsi="Arial" w:cs="Arial"/>
                <w:i w:val="0"/>
                <w:color w:val="000000"/>
                <w:sz w:val="20"/>
                <w:szCs w:val="20"/>
                <w:u w:val="none"/>
              </w:rPr>
            </w:pPr>
          </w:p>
        </w:tc>
        <w:tc>
          <w:tcPr>
            <w:tcW w:w="456" w:type="dxa"/>
            <w:gridSpan w:val="2"/>
            <w:shd w:val="clear" w:color="auto" w:fill="auto"/>
            <w:vAlign w:val="bottom"/>
          </w:tcPr>
          <w:p>
            <w:pPr>
              <w:rPr>
                <w:rFonts w:hint="default" w:ascii="Arial" w:hAnsi="Arial" w:cs="Arial"/>
                <w:i w:val="0"/>
                <w:color w:val="000000"/>
                <w:sz w:val="20"/>
                <w:szCs w:val="20"/>
                <w:u w:val="none"/>
              </w:rPr>
            </w:pPr>
          </w:p>
        </w:tc>
        <w:tc>
          <w:tcPr>
            <w:tcW w:w="335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3187"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部门：洞口县水东镇人民政府</w:t>
            </w:r>
          </w:p>
        </w:tc>
        <w:tc>
          <w:tcPr>
            <w:tcW w:w="456" w:type="dxa"/>
            <w:shd w:val="clear" w:color="auto" w:fill="auto"/>
            <w:vAlign w:val="bottom"/>
          </w:tcPr>
          <w:p>
            <w:pPr>
              <w:rPr>
                <w:rFonts w:hint="default" w:ascii="Arial" w:hAnsi="Arial" w:cs="Arial"/>
                <w:i w:val="0"/>
                <w:color w:val="000000"/>
                <w:sz w:val="20"/>
                <w:szCs w:val="20"/>
                <w:u w:val="none"/>
              </w:rPr>
            </w:pPr>
          </w:p>
        </w:tc>
        <w:tc>
          <w:tcPr>
            <w:tcW w:w="3350" w:type="dxa"/>
            <w:gridSpan w:val="2"/>
            <w:shd w:val="clear" w:color="auto" w:fill="auto"/>
            <w:vAlign w:val="bottom"/>
          </w:tcPr>
          <w:p>
            <w:pPr>
              <w:rPr>
                <w:rFonts w:hint="default" w:ascii="Arial" w:hAnsi="Arial" w:cs="Arial"/>
                <w:i w:val="0"/>
                <w:color w:val="000000"/>
                <w:sz w:val="20"/>
                <w:szCs w:val="20"/>
                <w:u w:val="none"/>
              </w:rPr>
            </w:pPr>
          </w:p>
        </w:tc>
        <w:tc>
          <w:tcPr>
            <w:tcW w:w="3187" w:type="dxa"/>
            <w:shd w:val="clear" w:color="auto" w:fill="auto"/>
            <w:vAlign w:val="bottom"/>
          </w:tcPr>
          <w:p>
            <w:pPr>
              <w:rPr>
                <w:rFonts w:hint="default" w:ascii="Arial" w:hAnsi="Arial" w:cs="Arial"/>
                <w:i w:val="0"/>
                <w:color w:val="000000"/>
                <w:sz w:val="20"/>
                <w:szCs w:val="20"/>
                <w:u w:val="none"/>
              </w:rPr>
            </w:pPr>
          </w:p>
        </w:tc>
        <w:tc>
          <w:tcPr>
            <w:tcW w:w="456" w:type="dxa"/>
            <w:gridSpan w:val="2"/>
            <w:shd w:val="clear" w:color="auto" w:fill="auto"/>
            <w:vAlign w:val="bottom"/>
          </w:tcPr>
          <w:p>
            <w:pPr>
              <w:rPr>
                <w:rFonts w:hint="default" w:ascii="Arial" w:hAnsi="Arial" w:cs="Arial"/>
                <w:i w:val="0"/>
                <w:color w:val="000000"/>
                <w:sz w:val="20"/>
                <w:szCs w:val="20"/>
                <w:u w:val="none"/>
              </w:rPr>
            </w:pPr>
          </w:p>
        </w:tc>
        <w:tc>
          <w:tcPr>
            <w:tcW w:w="335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8" w:hRule="atLeast"/>
        </w:trPr>
        <w:tc>
          <w:tcPr>
            <w:tcW w:w="6993"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993" w:type="dxa"/>
            <w:gridSpan w:val="5"/>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7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302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8"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69"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78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63" w:type="dxa"/>
            <w:gridSpan w:val="2"/>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02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11,13.55</w:t>
            </w: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02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7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403"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02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643"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7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c>
          <w:tcPr>
            <w:tcW w:w="340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6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0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atLeast"/>
        </w:trPr>
        <w:tc>
          <w:tcPr>
            <w:tcW w:w="13986"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13986"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widowControl/>
        <w:jc w:val="center"/>
        <w:rPr>
          <w:rFonts w:hint="eastAsia" w:ascii="华文中宋" w:hAnsi="华文中宋" w:eastAsia="华文中宋" w:cs="宋体"/>
          <w:color w:val="000000"/>
          <w:kern w:val="0"/>
          <w:sz w:val="32"/>
          <w:szCs w:val="32"/>
        </w:rPr>
      </w:pP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5"/>
        <w:gridCol w:w="968"/>
        <w:gridCol w:w="1006"/>
        <w:gridCol w:w="4526"/>
        <w:gridCol w:w="1434"/>
        <w:gridCol w:w="1471"/>
        <w:gridCol w:w="1380"/>
        <w:gridCol w:w="957"/>
        <w:gridCol w:w="1057"/>
        <w:gridCol w:w="1057"/>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428" w:type="dxa"/>
            <w:gridSpan w:val="11"/>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5" w:type="dxa"/>
            <w:shd w:val="clear" w:color="auto" w:fill="auto"/>
            <w:vAlign w:val="bottom"/>
          </w:tcPr>
          <w:p>
            <w:pPr>
              <w:rPr>
                <w:rFonts w:hint="eastAsia" w:ascii="Arial" w:hAnsi="Arial" w:cs="Arial"/>
                <w:i w:val="0"/>
                <w:color w:val="000000"/>
                <w:sz w:val="20"/>
                <w:szCs w:val="20"/>
                <w:u w:val="none"/>
              </w:rPr>
            </w:pPr>
          </w:p>
        </w:tc>
        <w:tc>
          <w:tcPr>
            <w:tcW w:w="968" w:type="dxa"/>
            <w:shd w:val="clear" w:color="auto" w:fill="auto"/>
            <w:vAlign w:val="bottom"/>
          </w:tcPr>
          <w:p>
            <w:pPr>
              <w:rPr>
                <w:rFonts w:hint="default" w:ascii="Arial" w:hAnsi="Arial" w:cs="Arial"/>
                <w:i w:val="0"/>
                <w:color w:val="000000"/>
                <w:sz w:val="20"/>
                <w:szCs w:val="20"/>
                <w:u w:val="none"/>
              </w:rPr>
            </w:pPr>
          </w:p>
        </w:tc>
        <w:tc>
          <w:tcPr>
            <w:tcW w:w="1006" w:type="dxa"/>
            <w:shd w:val="clear" w:color="auto" w:fill="auto"/>
            <w:vAlign w:val="bottom"/>
          </w:tcPr>
          <w:p>
            <w:pPr>
              <w:rPr>
                <w:rFonts w:hint="default" w:ascii="Arial" w:hAnsi="Arial" w:cs="Arial"/>
                <w:i w:val="0"/>
                <w:color w:val="000000"/>
                <w:sz w:val="20"/>
                <w:szCs w:val="20"/>
                <w:u w:val="none"/>
              </w:rPr>
            </w:pPr>
          </w:p>
        </w:tc>
        <w:tc>
          <w:tcPr>
            <w:tcW w:w="4526" w:type="dxa"/>
            <w:shd w:val="clear" w:color="auto" w:fill="auto"/>
            <w:vAlign w:val="bottom"/>
          </w:tcPr>
          <w:p>
            <w:pPr>
              <w:rPr>
                <w:rFonts w:hint="default" w:ascii="Arial" w:hAnsi="Arial" w:cs="Arial"/>
                <w:i w:val="0"/>
                <w:color w:val="000000"/>
                <w:sz w:val="20"/>
                <w:szCs w:val="20"/>
                <w:u w:val="none"/>
              </w:rPr>
            </w:pPr>
          </w:p>
        </w:tc>
        <w:tc>
          <w:tcPr>
            <w:tcW w:w="1434" w:type="dxa"/>
            <w:shd w:val="clear" w:color="auto" w:fill="auto"/>
            <w:vAlign w:val="bottom"/>
          </w:tcPr>
          <w:p>
            <w:pPr>
              <w:rPr>
                <w:rFonts w:hint="default" w:ascii="Arial" w:hAnsi="Arial" w:cs="Arial"/>
                <w:i w:val="0"/>
                <w:color w:val="000000"/>
                <w:sz w:val="20"/>
                <w:szCs w:val="20"/>
                <w:u w:val="none"/>
              </w:rPr>
            </w:pPr>
          </w:p>
        </w:tc>
        <w:tc>
          <w:tcPr>
            <w:tcW w:w="1471"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rPr>
                <w:rFonts w:hint="default" w:ascii="Arial" w:hAnsi="Arial" w:cs="Arial"/>
                <w:i w:val="0"/>
                <w:color w:val="000000"/>
                <w:sz w:val="20"/>
                <w:szCs w:val="20"/>
                <w:u w:val="none"/>
              </w:rPr>
            </w:pPr>
          </w:p>
        </w:tc>
        <w:tc>
          <w:tcPr>
            <w:tcW w:w="1057" w:type="dxa"/>
            <w:shd w:val="clear" w:color="auto" w:fill="auto"/>
            <w:vAlign w:val="bottom"/>
          </w:tcPr>
          <w:p>
            <w:pPr>
              <w:rPr>
                <w:rFonts w:hint="default" w:ascii="Arial" w:hAnsi="Arial" w:cs="Arial"/>
                <w:i w:val="0"/>
                <w:color w:val="000000"/>
                <w:sz w:val="20"/>
                <w:szCs w:val="20"/>
                <w:u w:val="none"/>
              </w:rPr>
            </w:pPr>
          </w:p>
        </w:tc>
        <w:tc>
          <w:tcPr>
            <w:tcW w:w="1057" w:type="dxa"/>
            <w:shd w:val="clear" w:color="auto" w:fill="auto"/>
            <w:vAlign w:val="bottom"/>
          </w:tcPr>
          <w:p>
            <w:pPr>
              <w:rPr>
                <w:rFonts w:hint="default" w:ascii="Arial" w:hAnsi="Arial" w:cs="Arial"/>
                <w:i w:val="0"/>
                <w:color w:val="000000"/>
                <w:sz w:val="20"/>
                <w:szCs w:val="20"/>
                <w:u w:val="none"/>
              </w:rPr>
            </w:pPr>
          </w:p>
        </w:tc>
        <w:tc>
          <w:tcPr>
            <w:tcW w:w="1057"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7015"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部门：洞口县水东镇人民政府</w:t>
            </w:r>
          </w:p>
        </w:tc>
        <w:tc>
          <w:tcPr>
            <w:tcW w:w="1434" w:type="dxa"/>
            <w:shd w:val="clear" w:color="auto" w:fill="auto"/>
            <w:vAlign w:val="bottom"/>
          </w:tcPr>
          <w:p>
            <w:pPr>
              <w:rPr>
                <w:rFonts w:hint="default" w:ascii="Arial" w:hAnsi="Arial" w:cs="Arial"/>
                <w:i w:val="0"/>
                <w:color w:val="000000"/>
                <w:sz w:val="20"/>
                <w:szCs w:val="20"/>
                <w:u w:val="none"/>
              </w:rPr>
            </w:pPr>
          </w:p>
        </w:tc>
        <w:tc>
          <w:tcPr>
            <w:tcW w:w="1471"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rPr>
                <w:rFonts w:hint="default" w:ascii="Arial" w:hAnsi="Arial" w:cs="Arial"/>
                <w:i w:val="0"/>
                <w:color w:val="000000"/>
                <w:sz w:val="20"/>
                <w:szCs w:val="20"/>
                <w:u w:val="none"/>
              </w:rPr>
            </w:pPr>
          </w:p>
        </w:tc>
        <w:tc>
          <w:tcPr>
            <w:tcW w:w="1057" w:type="dxa"/>
            <w:shd w:val="clear" w:color="auto" w:fill="auto"/>
            <w:vAlign w:val="bottom"/>
          </w:tcPr>
          <w:p>
            <w:pPr>
              <w:rPr>
                <w:rFonts w:hint="default" w:ascii="Arial" w:hAnsi="Arial" w:cs="Arial"/>
                <w:i w:val="0"/>
                <w:color w:val="000000"/>
                <w:sz w:val="20"/>
                <w:szCs w:val="20"/>
                <w:u w:val="none"/>
              </w:rPr>
            </w:pPr>
          </w:p>
        </w:tc>
        <w:tc>
          <w:tcPr>
            <w:tcW w:w="2114"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3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71"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8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5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5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5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5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489"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2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7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489"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2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7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489"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52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3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71"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015"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34"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5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015"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1,116.55</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1,116.55</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875.38</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875.38</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181.82</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181.82</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48.46</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48.46</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特别业务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农业结构调整补贴</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2200106</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自然资源利用与保护</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消防事务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2240204</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消防应急救援</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其他消防事务支出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其他自然灾害救灾及恢复重建支出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2"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2296003</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452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7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8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9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5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8449" w:type="dxa"/>
            <w:gridSpan w:val="5"/>
            <w:shd w:val="clear" w:color="auto" w:fill="auto"/>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c>
          <w:tcPr>
            <w:tcW w:w="1471"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957" w:type="dxa"/>
            <w:shd w:val="clear" w:color="auto" w:fill="auto"/>
            <w:vAlign w:val="bottom"/>
          </w:tcPr>
          <w:p>
            <w:pPr>
              <w:rPr>
                <w:rFonts w:hint="default" w:ascii="Arial" w:hAnsi="Arial" w:cs="Arial"/>
                <w:i w:val="0"/>
                <w:color w:val="000000"/>
                <w:sz w:val="20"/>
                <w:szCs w:val="20"/>
                <w:u w:val="none"/>
              </w:rPr>
            </w:pPr>
          </w:p>
        </w:tc>
        <w:tc>
          <w:tcPr>
            <w:tcW w:w="1057" w:type="dxa"/>
            <w:shd w:val="clear" w:color="auto" w:fill="auto"/>
            <w:vAlign w:val="bottom"/>
          </w:tcPr>
          <w:p>
            <w:pPr>
              <w:rPr>
                <w:rFonts w:hint="default" w:ascii="Arial" w:hAnsi="Arial" w:cs="Arial"/>
                <w:i w:val="0"/>
                <w:color w:val="000000"/>
                <w:sz w:val="20"/>
                <w:szCs w:val="20"/>
                <w:u w:val="none"/>
              </w:rPr>
            </w:pPr>
          </w:p>
        </w:tc>
        <w:tc>
          <w:tcPr>
            <w:tcW w:w="1057" w:type="dxa"/>
            <w:shd w:val="clear" w:color="auto" w:fill="auto"/>
            <w:vAlign w:val="center"/>
          </w:tcPr>
          <w:p>
            <w:pPr>
              <w:jc w:val="left"/>
              <w:rPr>
                <w:rFonts w:hint="eastAsia" w:ascii="宋体" w:hAnsi="宋体" w:eastAsia="宋体" w:cs="宋体"/>
                <w:i w:val="0"/>
                <w:color w:val="000000"/>
                <w:sz w:val="22"/>
                <w:szCs w:val="22"/>
                <w:u w:val="none"/>
              </w:rPr>
            </w:pPr>
          </w:p>
        </w:tc>
        <w:tc>
          <w:tcPr>
            <w:tcW w:w="1057" w:type="dxa"/>
            <w:shd w:val="clear" w:color="auto" w:fill="auto"/>
            <w:vAlign w:val="center"/>
          </w:tcPr>
          <w:p>
            <w:pPr>
              <w:jc w:val="left"/>
              <w:rPr>
                <w:rFonts w:hint="eastAsia" w:ascii="宋体" w:hAnsi="宋体" w:eastAsia="宋体" w:cs="宋体"/>
                <w:i w:val="0"/>
                <w:color w:val="000000"/>
                <w:sz w:val="22"/>
                <w:szCs w:val="22"/>
                <w:u w:val="none"/>
              </w:rPr>
            </w:pPr>
          </w:p>
        </w:tc>
      </w:tr>
    </w:tbl>
    <w:p>
      <w:pPr>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br w:type="page"/>
      </w: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3"/>
        <w:gridCol w:w="1039"/>
        <w:gridCol w:w="1080"/>
        <w:gridCol w:w="4859"/>
        <w:gridCol w:w="2222"/>
        <w:gridCol w:w="1135"/>
        <w:gridCol w:w="1135"/>
        <w:gridCol w:w="1135"/>
        <w:gridCol w:w="1135"/>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428" w:type="dxa"/>
            <w:gridSpan w:val="10"/>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553" w:type="dxa"/>
            <w:shd w:val="clear" w:color="auto" w:fill="auto"/>
            <w:vAlign w:val="bottom"/>
          </w:tcPr>
          <w:p>
            <w:pPr>
              <w:rPr>
                <w:rFonts w:hint="eastAsia" w:ascii="Arial" w:hAnsi="Arial" w:cs="Arial"/>
                <w:i w:val="0"/>
                <w:color w:val="000000"/>
                <w:sz w:val="20"/>
                <w:szCs w:val="20"/>
                <w:u w:val="none"/>
              </w:rPr>
            </w:pPr>
          </w:p>
        </w:tc>
        <w:tc>
          <w:tcPr>
            <w:tcW w:w="1039" w:type="dxa"/>
            <w:shd w:val="clear" w:color="auto" w:fill="auto"/>
            <w:vAlign w:val="bottom"/>
          </w:tcPr>
          <w:p>
            <w:pPr>
              <w:rPr>
                <w:rFonts w:hint="default" w:ascii="Arial" w:hAnsi="Arial" w:cs="Arial"/>
                <w:i w:val="0"/>
                <w:color w:val="000000"/>
                <w:sz w:val="20"/>
                <w:szCs w:val="20"/>
                <w:u w:val="none"/>
              </w:rPr>
            </w:pPr>
          </w:p>
        </w:tc>
        <w:tc>
          <w:tcPr>
            <w:tcW w:w="1080" w:type="dxa"/>
            <w:shd w:val="clear" w:color="auto" w:fill="auto"/>
            <w:vAlign w:val="bottom"/>
          </w:tcPr>
          <w:p>
            <w:pPr>
              <w:rPr>
                <w:rFonts w:hint="default" w:ascii="Arial" w:hAnsi="Arial" w:cs="Arial"/>
                <w:i w:val="0"/>
                <w:color w:val="000000"/>
                <w:sz w:val="20"/>
                <w:szCs w:val="20"/>
                <w:u w:val="none"/>
              </w:rPr>
            </w:pPr>
          </w:p>
        </w:tc>
        <w:tc>
          <w:tcPr>
            <w:tcW w:w="4859" w:type="dxa"/>
            <w:shd w:val="clear" w:color="auto" w:fill="auto"/>
            <w:vAlign w:val="bottom"/>
          </w:tcPr>
          <w:p>
            <w:pPr>
              <w:rPr>
                <w:rFonts w:hint="default" w:ascii="Arial" w:hAnsi="Arial" w:cs="Arial"/>
                <w:i w:val="0"/>
                <w:color w:val="000000"/>
                <w:sz w:val="20"/>
                <w:szCs w:val="20"/>
                <w:u w:val="none"/>
              </w:rPr>
            </w:pPr>
          </w:p>
        </w:tc>
        <w:tc>
          <w:tcPr>
            <w:tcW w:w="2222"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7531"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部门：洞口县水东镇人民政府</w:t>
            </w:r>
          </w:p>
        </w:tc>
        <w:tc>
          <w:tcPr>
            <w:tcW w:w="2222"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1135" w:type="dxa"/>
            <w:shd w:val="clear" w:color="auto" w:fill="auto"/>
            <w:vAlign w:val="bottom"/>
          </w:tcPr>
          <w:p>
            <w:pPr>
              <w:rPr>
                <w:rFonts w:hint="default" w:ascii="Arial" w:hAnsi="Arial" w:cs="Arial"/>
                <w:i w:val="0"/>
                <w:color w:val="000000"/>
                <w:sz w:val="20"/>
                <w:szCs w:val="20"/>
                <w:u w:val="none"/>
              </w:rPr>
            </w:pPr>
          </w:p>
        </w:tc>
        <w:tc>
          <w:tcPr>
            <w:tcW w:w="2270" w:type="dxa"/>
            <w:gridSpan w:val="2"/>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7531"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22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72"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85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2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2672"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85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2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672"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85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2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531"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2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7531"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1,116.55</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1,116.55</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875.38</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875.38</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181.82</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181.82</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48.46</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48.46</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特别业务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农业结构调整补贴</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2200106</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自然资源利用与保护</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消防事务</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2240204</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消防应急救援</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其他消防事务支出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其他自然灾害救灾及恢复重建支出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2296003</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67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4859"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2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13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5428"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79"/>
        <w:gridCol w:w="387"/>
        <w:gridCol w:w="86"/>
        <w:gridCol w:w="432"/>
        <w:gridCol w:w="2221"/>
        <w:gridCol w:w="2878"/>
        <w:gridCol w:w="473"/>
        <w:gridCol w:w="669"/>
        <w:gridCol w:w="771"/>
        <w:gridCol w:w="298"/>
        <w:gridCol w:w="614"/>
        <w:gridCol w:w="869"/>
        <w:gridCol w:w="1710"/>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428" w:type="dxa"/>
            <w:gridSpan w:val="14"/>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579" w:type="dxa"/>
            <w:shd w:val="clear" w:color="auto" w:fill="auto"/>
            <w:vAlign w:val="bottom"/>
          </w:tcPr>
          <w:p>
            <w:pPr>
              <w:rPr>
                <w:rFonts w:hint="eastAsia" w:ascii="Arial" w:hAnsi="Arial" w:cs="Arial"/>
                <w:i w:val="0"/>
                <w:color w:val="000000"/>
                <w:sz w:val="20"/>
                <w:szCs w:val="20"/>
                <w:u w:val="none"/>
              </w:rPr>
            </w:pPr>
          </w:p>
        </w:tc>
        <w:tc>
          <w:tcPr>
            <w:tcW w:w="473" w:type="dxa"/>
            <w:gridSpan w:val="2"/>
            <w:shd w:val="clear" w:color="auto" w:fill="auto"/>
            <w:vAlign w:val="bottom"/>
          </w:tcPr>
          <w:p>
            <w:pPr>
              <w:rPr>
                <w:rFonts w:hint="default" w:ascii="Arial" w:hAnsi="Arial" w:cs="Arial"/>
                <w:i w:val="0"/>
                <w:color w:val="000000"/>
                <w:sz w:val="20"/>
                <w:szCs w:val="20"/>
                <w:u w:val="none"/>
              </w:rPr>
            </w:pPr>
          </w:p>
        </w:tc>
        <w:tc>
          <w:tcPr>
            <w:tcW w:w="2653" w:type="dxa"/>
            <w:gridSpan w:val="2"/>
            <w:shd w:val="clear" w:color="auto" w:fill="auto"/>
            <w:vAlign w:val="bottom"/>
          </w:tcPr>
          <w:p>
            <w:pPr>
              <w:rPr>
                <w:rFonts w:hint="default" w:ascii="Arial" w:hAnsi="Arial" w:cs="Arial"/>
                <w:i w:val="0"/>
                <w:color w:val="000000"/>
                <w:sz w:val="20"/>
                <w:szCs w:val="20"/>
                <w:u w:val="none"/>
              </w:rPr>
            </w:pPr>
          </w:p>
        </w:tc>
        <w:tc>
          <w:tcPr>
            <w:tcW w:w="2878" w:type="dxa"/>
            <w:shd w:val="clear" w:color="auto" w:fill="auto"/>
            <w:vAlign w:val="bottom"/>
          </w:tcPr>
          <w:p>
            <w:pPr>
              <w:rPr>
                <w:rFonts w:hint="default" w:ascii="Arial" w:hAnsi="Arial" w:cs="Arial"/>
                <w:i w:val="0"/>
                <w:color w:val="000000"/>
                <w:sz w:val="20"/>
                <w:szCs w:val="20"/>
                <w:u w:val="none"/>
              </w:rPr>
            </w:pPr>
          </w:p>
        </w:tc>
        <w:tc>
          <w:tcPr>
            <w:tcW w:w="473" w:type="dxa"/>
            <w:shd w:val="clear" w:color="auto" w:fill="auto"/>
            <w:vAlign w:val="bottom"/>
          </w:tcPr>
          <w:p>
            <w:pPr>
              <w:rPr>
                <w:rFonts w:hint="default" w:ascii="Arial" w:hAnsi="Arial" w:cs="Arial"/>
                <w:i w:val="0"/>
                <w:color w:val="000000"/>
                <w:sz w:val="20"/>
                <w:szCs w:val="20"/>
                <w:u w:val="none"/>
              </w:rPr>
            </w:pPr>
          </w:p>
        </w:tc>
        <w:tc>
          <w:tcPr>
            <w:tcW w:w="1440" w:type="dxa"/>
            <w:gridSpan w:val="2"/>
            <w:shd w:val="clear" w:color="auto" w:fill="auto"/>
            <w:vAlign w:val="bottom"/>
          </w:tcPr>
          <w:p>
            <w:pPr>
              <w:rPr>
                <w:rFonts w:hint="default" w:ascii="Arial" w:hAnsi="Arial" w:cs="Arial"/>
                <w:i w:val="0"/>
                <w:color w:val="000000"/>
                <w:sz w:val="20"/>
                <w:szCs w:val="20"/>
                <w:u w:val="none"/>
              </w:rPr>
            </w:pPr>
          </w:p>
        </w:tc>
        <w:tc>
          <w:tcPr>
            <w:tcW w:w="912" w:type="dxa"/>
            <w:gridSpan w:val="2"/>
            <w:shd w:val="clear" w:color="auto" w:fill="auto"/>
            <w:vAlign w:val="bottom"/>
          </w:tcPr>
          <w:p>
            <w:pPr>
              <w:rPr>
                <w:rFonts w:hint="default" w:ascii="Arial" w:hAnsi="Arial" w:cs="Arial"/>
                <w:i w:val="0"/>
                <w:color w:val="000000"/>
                <w:sz w:val="20"/>
                <w:szCs w:val="20"/>
                <w:u w:val="none"/>
              </w:rPr>
            </w:pPr>
          </w:p>
        </w:tc>
        <w:tc>
          <w:tcPr>
            <w:tcW w:w="2579" w:type="dxa"/>
            <w:gridSpan w:val="2"/>
            <w:shd w:val="clear" w:color="auto" w:fill="auto"/>
            <w:vAlign w:val="bottom"/>
          </w:tcPr>
          <w:p>
            <w:pPr>
              <w:rPr>
                <w:rFonts w:hint="default" w:ascii="Arial" w:hAnsi="Arial" w:cs="Arial"/>
                <w:i w:val="0"/>
                <w:color w:val="000000"/>
                <w:sz w:val="20"/>
                <w:szCs w:val="20"/>
                <w:u w:val="none"/>
              </w:rPr>
            </w:pPr>
          </w:p>
        </w:tc>
        <w:tc>
          <w:tcPr>
            <w:tcW w:w="144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79"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部门：洞口县水东镇人民政府</w:t>
            </w:r>
          </w:p>
        </w:tc>
        <w:tc>
          <w:tcPr>
            <w:tcW w:w="473" w:type="dxa"/>
            <w:gridSpan w:val="2"/>
            <w:shd w:val="clear" w:color="auto" w:fill="auto"/>
            <w:vAlign w:val="bottom"/>
          </w:tcPr>
          <w:p>
            <w:pPr>
              <w:rPr>
                <w:rFonts w:hint="default" w:ascii="Arial" w:hAnsi="Arial" w:cs="Arial"/>
                <w:i w:val="0"/>
                <w:color w:val="000000"/>
                <w:sz w:val="20"/>
                <w:szCs w:val="20"/>
                <w:u w:val="none"/>
              </w:rPr>
            </w:pPr>
          </w:p>
        </w:tc>
        <w:tc>
          <w:tcPr>
            <w:tcW w:w="2653" w:type="dxa"/>
            <w:gridSpan w:val="2"/>
            <w:shd w:val="clear" w:color="auto" w:fill="auto"/>
            <w:vAlign w:val="bottom"/>
          </w:tcPr>
          <w:p>
            <w:pPr>
              <w:rPr>
                <w:rFonts w:hint="default" w:ascii="Arial" w:hAnsi="Arial" w:cs="Arial"/>
                <w:i w:val="0"/>
                <w:color w:val="000000"/>
                <w:sz w:val="20"/>
                <w:szCs w:val="20"/>
                <w:u w:val="none"/>
              </w:rPr>
            </w:pPr>
          </w:p>
        </w:tc>
        <w:tc>
          <w:tcPr>
            <w:tcW w:w="2878" w:type="dxa"/>
            <w:shd w:val="clear" w:color="auto" w:fill="auto"/>
            <w:vAlign w:val="bottom"/>
          </w:tcPr>
          <w:p>
            <w:pPr>
              <w:rPr>
                <w:rFonts w:hint="default" w:ascii="Arial" w:hAnsi="Arial" w:cs="Arial"/>
                <w:i w:val="0"/>
                <w:color w:val="000000"/>
                <w:sz w:val="20"/>
                <w:szCs w:val="20"/>
                <w:u w:val="none"/>
              </w:rPr>
            </w:pPr>
          </w:p>
        </w:tc>
        <w:tc>
          <w:tcPr>
            <w:tcW w:w="473" w:type="dxa"/>
            <w:shd w:val="clear" w:color="auto" w:fill="auto"/>
            <w:vAlign w:val="bottom"/>
          </w:tcPr>
          <w:p>
            <w:pPr>
              <w:rPr>
                <w:rFonts w:hint="default" w:ascii="Arial" w:hAnsi="Arial" w:cs="Arial"/>
                <w:i w:val="0"/>
                <w:color w:val="000000"/>
                <w:sz w:val="20"/>
                <w:szCs w:val="20"/>
                <w:u w:val="none"/>
              </w:rPr>
            </w:pPr>
          </w:p>
        </w:tc>
        <w:tc>
          <w:tcPr>
            <w:tcW w:w="1440" w:type="dxa"/>
            <w:gridSpan w:val="2"/>
            <w:shd w:val="clear" w:color="auto" w:fill="auto"/>
            <w:vAlign w:val="bottom"/>
          </w:tcPr>
          <w:p>
            <w:pPr>
              <w:rPr>
                <w:rFonts w:hint="default" w:ascii="Arial" w:hAnsi="Arial" w:cs="Arial"/>
                <w:i w:val="0"/>
                <w:color w:val="000000"/>
                <w:sz w:val="20"/>
                <w:szCs w:val="20"/>
                <w:u w:val="none"/>
              </w:rPr>
            </w:pPr>
          </w:p>
        </w:tc>
        <w:tc>
          <w:tcPr>
            <w:tcW w:w="912" w:type="dxa"/>
            <w:gridSpan w:val="2"/>
            <w:shd w:val="clear" w:color="auto" w:fill="auto"/>
            <w:vAlign w:val="bottom"/>
          </w:tcPr>
          <w:p>
            <w:pPr>
              <w:rPr>
                <w:rFonts w:hint="default" w:ascii="Arial" w:hAnsi="Arial" w:cs="Arial"/>
                <w:i w:val="0"/>
                <w:color w:val="000000"/>
                <w:sz w:val="20"/>
                <w:szCs w:val="20"/>
                <w:u w:val="none"/>
              </w:rPr>
            </w:pPr>
          </w:p>
        </w:tc>
        <w:tc>
          <w:tcPr>
            <w:tcW w:w="2579" w:type="dxa"/>
            <w:gridSpan w:val="2"/>
            <w:shd w:val="clear" w:color="auto" w:fill="auto"/>
            <w:vAlign w:val="bottom"/>
          </w:tcPr>
          <w:p>
            <w:pPr>
              <w:rPr>
                <w:rFonts w:hint="default" w:ascii="Arial" w:hAnsi="Arial" w:cs="Arial"/>
                <w:i w:val="0"/>
                <w:color w:val="000000"/>
                <w:sz w:val="20"/>
                <w:szCs w:val="20"/>
                <w:u w:val="none"/>
              </w:rPr>
            </w:pPr>
          </w:p>
        </w:tc>
        <w:tc>
          <w:tcPr>
            <w:tcW w:w="1441"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5" w:type="dxa"/>
            <w:gridSpan w:val="5"/>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9723" w:type="dxa"/>
            <w:gridSpan w:val="9"/>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0" w:hRule="atLeast"/>
        </w:trPr>
        <w:tc>
          <w:tcPr>
            <w:tcW w:w="2966" w:type="dxa"/>
            <w:gridSpan w:val="2"/>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8"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22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51"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9"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69"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83"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71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44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0" w:hRule="atLeast"/>
        </w:trPr>
        <w:tc>
          <w:tcPr>
            <w:tcW w:w="2966" w:type="dxa"/>
            <w:gridSpan w:val="2"/>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18"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2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351"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69"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9"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83"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1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44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8" w:type="dxa"/>
            <w:gridSpan w:val="2"/>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2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69" w:type="dxa"/>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69"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3"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1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1,113.55</w:t>
            </w: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2"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b/>
                <w:i w:val="0"/>
                <w:color w:val="000000"/>
                <w:sz w:val="20"/>
                <w:szCs w:val="20"/>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2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1,113.55</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22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351" w:type="dxa"/>
            <w:gridSpan w:val="2"/>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069"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83"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1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966"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18"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22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c>
          <w:tcPr>
            <w:tcW w:w="3351"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69"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069"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1,116.55</w:t>
            </w:r>
          </w:p>
        </w:tc>
        <w:tc>
          <w:tcPr>
            <w:tcW w:w="1483"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1,113.55</w:t>
            </w:r>
          </w:p>
        </w:tc>
        <w:tc>
          <w:tcPr>
            <w:tcW w:w="171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44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3987" w:type="dxa"/>
            <w:gridSpan w:val="1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441" w:type="dxa"/>
            <w:shd w:val="clear" w:color="auto" w:fill="auto"/>
            <w:vAlign w:val="center"/>
          </w:tcPr>
          <w:p>
            <w:pPr>
              <w:jc w:val="left"/>
              <w:rPr>
                <w:rFonts w:hint="eastAsia" w:ascii="宋体" w:hAnsi="宋体" w:eastAsia="宋体" w:cs="宋体"/>
                <w:i w:val="0"/>
                <w:color w:val="000000"/>
                <w:sz w:val="20"/>
                <w:szCs w:val="20"/>
                <w:u w:val="none"/>
              </w:rPr>
            </w:pP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tbl>
      <w:tblPr>
        <w:tblStyle w:val="8"/>
        <w:tblW w:w="15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8"/>
        <w:gridCol w:w="1273"/>
        <w:gridCol w:w="1323"/>
        <w:gridCol w:w="5958"/>
        <w:gridCol w:w="3407"/>
        <w:gridCol w:w="1391"/>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422" w:type="dxa"/>
            <w:gridSpan w:val="7"/>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78" w:type="dxa"/>
            <w:shd w:val="clear" w:color="auto" w:fill="auto"/>
            <w:vAlign w:val="bottom"/>
          </w:tcPr>
          <w:p>
            <w:pPr>
              <w:rPr>
                <w:rFonts w:hint="eastAsia" w:ascii="Arial" w:hAnsi="Arial" w:cs="Arial"/>
                <w:i w:val="0"/>
                <w:color w:val="000000"/>
                <w:sz w:val="20"/>
                <w:szCs w:val="20"/>
                <w:u w:val="none"/>
              </w:rPr>
            </w:pPr>
          </w:p>
        </w:tc>
        <w:tc>
          <w:tcPr>
            <w:tcW w:w="1273" w:type="dxa"/>
            <w:shd w:val="clear" w:color="auto" w:fill="auto"/>
            <w:vAlign w:val="bottom"/>
          </w:tcPr>
          <w:p>
            <w:pPr>
              <w:rPr>
                <w:rFonts w:hint="default" w:ascii="Arial" w:hAnsi="Arial" w:cs="Arial"/>
                <w:i w:val="0"/>
                <w:color w:val="000000"/>
                <w:sz w:val="20"/>
                <w:szCs w:val="20"/>
                <w:u w:val="none"/>
              </w:rPr>
            </w:pPr>
          </w:p>
        </w:tc>
        <w:tc>
          <w:tcPr>
            <w:tcW w:w="1323" w:type="dxa"/>
            <w:shd w:val="clear" w:color="auto" w:fill="auto"/>
            <w:vAlign w:val="bottom"/>
          </w:tcPr>
          <w:p>
            <w:pPr>
              <w:rPr>
                <w:rFonts w:hint="default" w:ascii="Arial" w:hAnsi="Arial" w:cs="Arial"/>
                <w:i w:val="0"/>
                <w:color w:val="000000"/>
                <w:sz w:val="20"/>
                <w:szCs w:val="20"/>
                <w:u w:val="none"/>
              </w:rPr>
            </w:pPr>
          </w:p>
        </w:tc>
        <w:tc>
          <w:tcPr>
            <w:tcW w:w="5958" w:type="dxa"/>
            <w:shd w:val="clear" w:color="auto" w:fill="auto"/>
            <w:vAlign w:val="bottom"/>
          </w:tcPr>
          <w:p>
            <w:pPr>
              <w:rPr>
                <w:rFonts w:hint="default" w:ascii="Arial" w:hAnsi="Arial" w:cs="Arial"/>
                <w:i w:val="0"/>
                <w:color w:val="000000"/>
                <w:sz w:val="20"/>
                <w:szCs w:val="20"/>
                <w:u w:val="none"/>
              </w:rPr>
            </w:pPr>
          </w:p>
        </w:tc>
        <w:tc>
          <w:tcPr>
            <w:tcW w:w="3407" w:type="dxa"/>
            <w:shd w:val="clear" w:color="auto" w:fill="auto"/>
            <w:vAlign w:val="bottom"/>
          </w:tcPr>
          <w:p>
            <w:pPr>
              <w:rPr>
                <w:rFonts w:hint="default" w:ascii="Arial" w:hAnsi="Arial" w:cs="Arial"/>
                <w:i w:val="0"/>
                <w:color w:val="000000"/>
                <w:sz w:val="20"/>
                <w:szCs w:val="20"/>
                <w:u w:val="none"/>
              </w:rPr>
            </w:pPr>
          </w:p>
        </w:tc>
        <w:tc>
          <w:tcPr>
            <w:tcW w:w="1391" w:type="dxa"/>
            <w:shd w:val="clear" w:color="auto" w:fill="auto"/>
            <w:vAlign w:val="bottom"/>
          </w:tcPr>
          <w:p>
            <w:pPr>
              <w:rPr>
                <w:rFonts w:hint="default" w:ascii="Arial" w:hAnsi="Arial" w:cs="Arial"/>
                <w:i w:val="0"/>
                <w:color w:val="000000"/>
                <w:sz w:val="20"/>
                <w:szCs w:val="20"/>
                <w:u w:val="none"/>
              </w:rPr>
            </w:pPr>
          </w:p>
        </w:tc>
        <w:tc>
          <w:tcPr>
            <w:tcW w:w="139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232" w:type="dxa"/>
            <w:gridSpan w:val="4"/>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部门：洞口县水东镇人民政府</w:t>
            </w:r>
          </w:p>
        </w:tc>
        <w:tc>
          <w:tcPr>
            <w:tcW w:w="3407" w:type="dxa"/>
            <w:shd w:val="clear" w:color="auto" w:fill="auto"/>
            <w:vAlign w:val="bottom"/>
          </w:tcPr>
          <w:p>
            <w:pPr>
              <w:rPr>
                <w:rFonts w:hint="default" w:ascii="Arial" w:hAnsi="Arial" w:cs="Arial"/>
                <w:i w:val="0"/>
                <w:color w:val="000000"/>
                <w:sz w:val="20"/>
                <w:szCs w:val="20"/>
                <w:u w:val="none"/>
              </w:rPr>
            </w:pPr>
          </w:p>
        </w:tc>
        <w:tc>
          <w:tcPr>
            <w:tcW w:w="1391" w:type="dxa"/>
            <w:shd w:val="clear" w:color="auto" w:fill="auto"/>
            <w:vAlign w:val="bottom"/>
          </w:tcPr>
          <w:p>
            <w:pPr>
              <w:rPr>
                <w:rFonts w:hint="default" w:ascii="Arial" w:hAnsi="Arial" w:cs="Arial"/>
                <w:i w:val="0"/>
                <w:color w:val="000000"/>
                <w:sz w:val="20"/>
                <w:szCs w:val="20"/>
                <w:u w:val="none"/>
              </w:rPr>
            </w:pPr>
          </w:p>
        </w:tc>
        <w:tc>
          <w:tcPr>
            <w:tcW w:w="139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232"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90"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3274"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958"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40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91"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9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274"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95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0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3274"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958"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40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1"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9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9232"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407"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1"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2"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232"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1,113.55</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1,113.55</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908.01</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875.38</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875.38</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181.82</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181.82</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48.46</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48.46</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12.38</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其他统计信息事务支出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其他一般公共服务支出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特别业务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10.91</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农村环境保护</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62.51</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农业结构调整补贴</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24.67</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26.84</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2200106</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自然资源利用与保护</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消防事务</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2240204</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消防应急救援</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其他消防事务支出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其他自然灾害救灾及恢复重建支出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2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595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340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5422"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br w:type="page"/>
      </w:r>
    </w:p>
    <w:tbl>
      <w:tblPr>
        <w:tblStyle w:val="8"/>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6"/>
        <w:gridCol w:w="2955"/>
        <w:gridCol w:w="1505"/>
        <w:gridCol w:w="616"/>
        <w:gridCol w:w="2322"/>
        <w:gridCol w:w="1505"/>
        <w:gridCol w:w="617"/>
        <w:gridCol w:w="3787"/>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5428" w:type="dxa"/>
            <w:gridSpan w:val="9"/>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trPr>
        <w:tc>
          <w:tcPr>
            <w:tcW w:w="616" w:type="dxa"/>
            <w:shd w:val="clear" w:color="auto" w:fill="auto"/>
            <w:vAlign w:val="bottom"/>
          </w:tcPr>
          <w:p>
            <w:pPr>
              <w:rPr>
                <w:rFonts w:hint="eastAsia" w:ascii="Arial" w:hAnsi="Arial" w:cs="Arial"/>
                <w:i w:val="0"/>
                <w:color w:val="000000"/>
                <w:sz w:val="20"/>
                <w:szCs w:val="20"/>
                <w:u w:val="none"/>
              </w:rPr>
            </w:pPr>
          </w:p>
        </w:tc>
        <w:tc>
          <w:tcPr>
            <w:tcW w:w="2955" w:type="dxa"/>
            <w:shd w:val="clear" w:color="auto" w:fill="auto"/>
            <w:vAlign w:val="bottom"/>
          </w:tcPr>
          <w:p>
            <w:pPr>
              <w:rPr>
                <w:rFonts w:hint="default" w:ascii="Arial" w:hAnsi="Arial" w:cs="Arial"/>
                <w:i w:val="0"/>
                <w:color w:val="000000"/>
                <w:sz w:val="20"/>
                <w:szCs w:val="20"/>
                <w:u w:val="none"/>
              </w:rPr>
            </w:pPr>
          </w:p>
        </w:tc>
        <w:tc>
          <w:tcPr>
            <w:tcW w:w="1505" w:type="dxa"/>
            <w:shd w:val="clear" w:color="auto" w:fill="auto"/>
            <w:vAlign w:val="bottom"/>
          </w:tcPr>
          <w:p>
            <w:pPr>
              <w:rPr>
                <w:rFonts w:hint="default" w:ascii="Arial" w:hAnsi="Arial" w:cs="Arial"/>
                <w:i w:val="0"/>
                <w:color w:val="000000"/>
                <w:sz w:val="20"/>
                <w:szCs w:val="20"/>
                <w:u w:val="none"/>
              </w:rPr>
            </w:pPr>
          </w:p>
        </w:tc>
        <w:tc>
          <w:tcPr>
            <w:tcW w:w="616" w:type="dxa"/>
            <w:shd w:val="clear" w:color="auto" w:fill="auto"/>
            <w:vAlign w:val="bottom"/>
          </w:tcPr>
          <w:p>
            <w:pPr>
              <w:rPr>
                <w:rFonts w:hint="default" w:ascii="Arial" w:hAnsi="Arial" w:cs="Arial"/>
                <w:i w:val="0"/>
                <w:color w:val="000000"/>
                <w:sz w:val="20"/>
                <w:szCs w:val="20"/>
                <w:u w:val="none"/>
              </w:rPr>
            </w:pPr>
          </w:p>
        </w:tc>
        <w:tc>
          <w:tcPr>
            <w:tcW w:w="2322" w:type="dxa"/>
            <w:shd w:val="clear" w:color="auto" w:fill="auto"/>
            <w:vAlign w:val="bottom"/>
          </w:tcPr>
          <w:p>
            <w:pPr>
              <w:rPr>
                <w:rFonts w:hint="default" w:ascii="Arial" w:hAnsi="Arial" w:cs="Arial"/>
                <w:i w:val="0"/>
                <w:color w:val="000000"/>
                <w:sz w:val="20"/>
                <w:szCs w:val="20"/>
                <w:u w:val="none"/>
              </w:rPr>
            </w:pPr>
          </w:p>
        </w:tc>
        <w:tc>
          <w:tcPr>
            <w:tcW w:w="1505" w:type="dxa"/>
            <w:shd w:val="clear" w:color="auto" w:fill="auto"/>
            <w:vAlign w:val="bottom"/>
          </w:tcPr>
          <w:p>
            <w:pPr>
              <w:rPr>
                <w:rFonts w:hint="default" w:ascii="Arial" w:hAnsi="Arial" w:cs="Arial"/>
                <w:i w:val="0"/>
                <w:color w:val="000000"/>
                <w:sz w:val="20"/>
                <w:szCs w:val="20"/>
                <w:u w:val="none"/>
              </w:rPr>
            </w:pPr>
          </w:p>
        </w:tc>
        <w:tc>
          <w:tcPr>
            <w:tcW w:w="617" w:type="dxa"/>
            <w:shd w:val="clear" w:color="auto" w:fill="auto"/>
            <w:vAlign w:val="bottom"/>
          </w:tcPr>
          <w:p>
            <w:pPr>
              <w:rPr>
                <w:rFonts w:hint="default" w:ascii="Arial" w:hAnsi="Arial" w:cs="Arial"/>
                <w:i w:val="0"/>
                <w:color w:val="000000"/>
                <w:sz w:val="20"/>
                <w:szCs w:val="20"/>
                <w:u w:val="none"/>
              </w:rPr>
            </w:pPr>
          </w:p>
        </w:tc>
        <w:tc>
          <w:tcPr>
            <w:tcW w:w="3787" w:type="dxa"/>
            <w:shd w:val="clear" w:color="auto" w:fill="auto"/>
            <w:vAlign w:val="bottom"/>
          </w:tcPr>
          <w:p>
            <w:pPr>
              <w:rPr>
                <w:rFonts w:hint="default" w:ascii="Arial" w:hAnsi="Arial" w:cs="Arial"/>
                <w:i w:val="0"/>
                <w:color w:val="000000"/>
                <w:sz w:val="20"/>
                <w:szCs w:val="20"/>
                <w:u w:val="none"/>
              </w:rPr>
            </w:pPr>
          </w:p>
        </w:tc>
        <w:tc>
          <w:tcPr>
            <w:tcW w:w="150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076" w:type="dxa"/>
            <w:gridSpan w:val="3"/>
            <w:shd w:val="clear" w:color="auto" w:fill="auto"/>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部门：洞口县水东镇人民政府</w:t>
            </w:r>
          </w:p>
        </w:tc>
        <w:tc>
          <w:tcPr>
            <w:tcW w:w="616" w:type="dxa"/>
            <w:shd w:val="clear" w:color="auto" w:fill="auto"/>
            <w:vAlign w:val="bottom"/>
          </w:tcPr>
          <w:p>
            <w:pPr>
              <w:rPr>
                <w:rFonts w:hint="default" w:ascii="Arial" w:hAnsi="Arial" w:cs="Arial"/>
                <w:i w:val="0"/>
                <w:color w:val="000000"/>
                <w:sz w:val="20"/>
                <w:szCs w:val="20"/>
                <w:u w:val="none"/>
              </w:rPr>
            </w:pPr>
          </w:p>
        </w:tc>
        <w:tc>
          <w:tcPr>
            <w:tcW w:w="2322" w:type="dxa"/>
            <w:shd w:val="clear" w:color="auto" w:fill="auto"/>
            <w:vAlign w:val="bottom"/>
          </w:tcPr>
          <w:p>
            <w:pPr>
              <w:rPr>
                <w:rFonts w:hint="default" w:ascii="Arial" w:hAnsi="Arial" w:cs="Arial"/>
                <w:i w:val="0"/>
                <w:color w:val="000000"/>
                <w:sz w:val="20"/>
                <w:szCs w:val="20"/>
                <w:u w:val="none"/>
              </w:rPr>
            </w:pPr>
          </w:p>
        </w:tc>
        <w:tc>
          <w:tcPr>
            <w:tcW w:w="1505" w:type="dxa"/>
            <w:shd w:val="clear" w:color="auto" w:fill="auto"/>
            <w:vAlign w:val="bottom"/>
          </w:tcPr>
          <w:p>
            <w:pPr>
              <w:rPr>
                <w:rFonts w:hint="default" w:ascii="Arial" w:hAnsi="Arial" w:cs="Arial"/>
                <w:i w:val="0"/>
                <w:color w:val="000000"/>
                <w:sz w:val="20"/>
                <w:szCs w:val="20"/>
                <w:u w:val="none"/>
              </w:rPr>
            </w:pPr>
          </w:p>
        </w:tc>
        <w:tc>
          <w:tcPr>
            <w:tcW w:w="617" w:type="dxa"/>
            <w:shd w:val="clear" w:color="auto" w:fill="auto"/>
            <w:vAlign w:val="bottom"/>
          </w:tcPr>
          <w:p>
            <w:pPr>
              <w:rPr>
                <w:rFonts w:hint="default" w:ascii="Arial" w:hAnsi="Arial" w:cs="Arial"/>
                <w:i w:val="0"/>
                <w:color w:val="000000"/>
                <w:sz w:val="20"/>
                <w:szCs w:val="20"/>
                <w:u w:val="none"/>
              </w:rPr>
            </w:pPr>
          </w:p>
        </w:tc>
        <w:tc>
          <w:tcPr>
            <w:tcW w:w="3787" w:type="dxa"/>
            <w:shd w:val="clear" w:color="auto" w:fill="auto"/>
            <w:vAlign w:val="bottom"/>
          </w:tcPr>
          <w:p>
            <w:pPr>
              <w:rPr>
                <w:rFonts w:hint="default" w:ascii="Arial" w:hAnsi="Arial" w:cs="Arial"/>
                <w:i w:val="0"/>
                <w:color w:val="000000"/>
                <w:sz w:val="20"/>
                <w:szCs w:val="20"/>
                <w:u w:val="none"/>
              </w:rPr>
            </w:pPr>
          </w:p>
        </w:tc>
        <w:tc>
          <w:tcPr>
            <w:tcW w:w="150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07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0352" w:type="dxa"/>
            <w:gridSpan w:val="6"/>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16" w:type="dxa"/>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95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16"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322"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1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787"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16" w:type="dxa"/>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95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0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16"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22"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0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1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787"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0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644.10</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399.33</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134.63</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40.89</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74.64</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36.03</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23.99</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0.88</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135.84</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47.14</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24.45</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48.87</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65.51</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85.90</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70.12</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61.48</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133.87</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51.59</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29.14</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61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787"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61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78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955"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78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2955"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16"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22" w:type="dxa"/>
            <w:tcBorders>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1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787" w:type="dxa"/>
            <w:tcBorders>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5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3571" w:type="dxa"/>
            <w:gridSpan w:val="2"/>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714.22</w:t>
            </w:r>
          </w:p>
        </w:tc>
        <w:tc>
          <w:tcPr>
            <w:tcW w:w="8847" w:type="dxa"/>
            <w:gridSpan w:val="5"/>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5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5428"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rPr>
          <w:rFonts w:ascii="Times New Roman" w:hAnsi="Times New Roman" w:eastAsia="方正小标宋_GBK" w:cs="Times New Roman"/>
          <w:kern w:val="0"/>
          <w:sz w:val="36"/>
          <w:szCs w:val="36"/>
        </w:rPr>
      </w:pPr>
      <w:bookmarkStart w:id="0" w:name="RANGE!A1:I22"/>
      <w:bookmarkEnd w:id="0"/>
      <w:bookmarkStart w:id="1" w:name="RANGE!A1:F16"/>
      <w:r>
        <w:rPr>
          <w:rFonts w:ascii="Times New Roman" w:hAnsi="Times New Roman" w:eastAsia="方正小标宋_GBK" w:cs="Times New Roman"/>
          <w:kern w:val="0"/>
          <w:sz w:val="36"/>
          <w:szCs w:val="36"/>
        </w:rPr>
        <w:br w:type="page"/>
      </w:r>
    </w:p>
    <w:p>
      <w:pPr>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tbl>
      <w:tblPr>
        <w:tblStyle w:val="8"/>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6"/>
        <w:gridCol w:w="1264"/>
        <w:gridCol w:w="1146"/>
        <w:gridCol w:w="881"/>
        <w:gridCol w:w="1150"/>
        <w:gridCol w:w="1153"/>
        <w:gridCol w:w="1146"/>
        <w:gridCol w:w="1265"/>
        <w:gridCol w:w="1146"/>
        <w:gridCol w:w="881"/>
        <w:gridCol w:w="115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5614" w:type="dxa"/>
            <w:gridSpan w:val="12"/>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126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部门：洞口县水东镇人民政府</w:t>
            </w:r>
          </w:p>
        </w:tc>
        <w:tc>
          <w:tcPr>
            <w:tcW w:w="126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26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46"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8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5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41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04"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28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7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15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4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7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28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15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26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15614"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p>
      <w:pPr>
        <w:rPr>
          <w:rFonts w:ascii="Times New Roman" w:hAnsi="Times New Roman" w:eastAsia="方正小标宋_GBK" w:cs="Times New Roman"/>
          <w:kern w:val="0"/>
          <w:sz w:val="36"/>
          <w:szCs w:val="36"/>
          <w:lang w:val="en-US" w:eastAsia="zh-CN" w:bidi="ar-SA"/>
        </w:rPr>
      </w:pPr>
    </w:p>
    <w:tbl>
      <w:tblPr>
        <w:tblStyle w:val="8"/>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228"/>
        <w:gridCol w:w="234"/>
        <w:gridCol w:w="3660"/>
        <w:gridCol w:w="1174"/>
        <w:gridCol w:w="1483"/>
        <w:gridCol w:w="1483"/>
        <w:gridCol w:w="1483"/>
        <w:gridCol w:w="1181"/>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5614"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2929"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22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7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8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8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8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75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929"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部门：洞口县水东镇人民政府</w:t>
            </w:r>
          </w:p>
        </w:tc>
        <w:tc>
          <w:tcPr>
            <w:tcW w:w="22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3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660"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74"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8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8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48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181"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175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51"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7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8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14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75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91"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8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7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9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91"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7051"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7051"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w:t>
            </w: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391"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66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74"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8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75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15614"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p>
    <w:tbl>
      <w:tblPr>
        <w:tblStyle w:val="8"/>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1"/>
        <w:gridCol w:w="425"/>
        <w:gridCol w:w="428"/>
        <w:gridCol w:w="2105"/>
        <w:gridCol w:w="2033"/>
        <w:gridCol w:w="2033"/>
        <w:gridCol w:w="3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15614" w:type="dxa"/>
            <w:gridSpan w:val="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5411" w:type="dxa"/>
            <w:tcBorders>
              <w:top w:val="nil"/>
              <w:left w:val="nil"/>
              <w:bottom w:val="nil"/>
              <w:right w:val="nil"/>
            </w:tcBorders>
            <w:shd w:val="clear" w:color="auto" w:fill="auto"/>
            <w:vAlign w:val="bottom"/>
          </w:tcPr>
          <w:p>
            <w:pPr>
              <w:rPr>
                <w:rFonts w:hint="eastAsia" w:ascii="Arial" w:hAnsi="Arial" w:cs="Arial"/>
                <w:i w:val="0"/>
                <w:iCs w:val="0"/>
                <w:color w:val="000000"/>
                <w:sz w:val="20"/>
                <w:szCs w:val="20"/>
                <w:u w:val="none"/>
              </w:rPr>
            </w:pPr>
          </w:p>
        </w:tc>
        <w:tc>
          <w:tcPr>
            <w:tcW w:w="4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2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10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17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411"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部门：洞口县水东镇人民政府</w:t>
            </w:r>
          </w:p>
        </w:tc>
        <w:tc>
          <w:tcPr>
            <w:tcW w:w="42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428"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105"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2033" w:type="dxa"/>
            <w:tcBorders>
              <w:top w:val="nil"/>
              <w:left w:val="nil"/>
              <w:bottom w:val="nil"/>
              <w:right w:val="nil"/>
            </w:tcBorders>
            <w:shd w:val="clear" w:color="auto" w:fill="auto"/>
            <w:vAlign w:val="bottom"/>
          </w:tcPr>
          <w:p>
            <w:pPr>
              <w:rPr>
                <w:rFonts w:hint="default" w:ascii="Arial" w:hAnsi="Arial" w:cs="Arial"/>
                <w:i w:val="0"/>
                <w:iCs w:val="0"/>
                <w:color w:val="000000"/>
                <w:sz w:val="20"/>
                <w:szCs w:val="20"/>
                <w:u w:val="none"/>
              </w:rPr>
            </w:pPr>
          </w:p>
        </w:tc>
        <w:tc>
          <w:tcPr>
            <w:tcW w:w="317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369"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26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1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3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7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26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7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626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3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7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8369"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7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8369" w:type="dxa"/>
            <w:gridSpan w:val="4"/>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6264"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6264"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264"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264"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264"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6264"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05"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2033"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3179"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561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widowControl/>
        <w:jc w:val="center"/>
        <w:rPr>
          <w:rFonts w:ascii="Times New Roman" w:hAnsi="Times New Roman" w:eastAsia="方正小标宋_GBK" w:cs="Times New Roman"/>
          <w:kern w:val="0"/>
          <w:sz w:val="36"/>
          <w:szCs w:val="36"/>
        </w:rPr>
      </w:pPr>
    </w:p>
    <w:bookmarkEnd w:id="1"/>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highlight w:val="none"/>
        </w:rPr>
      </w:pPr>
      <w:r>
        <w:rPr>
          <w:rFonts w:hint="eastAsia" w:hAnsi="黑体"/>
          <w:b/>
          <w:sz w:val="32"/>
          <w:szCs w:val="32"/>
          <w:highlight w:val="none"/>
        </w:rPr>
        <w:t>一、收入支出决算总体情况说明</w:t>
      </w:r>
    </w:p>
    <w:p>
      <w:pPr>
        <w:spacing w:line="360" w:lineRule="auto"/>
        <w:ind w:firstLine="640" w:firstLineChars="200"/>
        <w:rPr>
          <w:rFonts w:hint="eastAsia" w:ascii="仿宋_GB2312" w:hAnsi="仿宋_GB2312" w:eastAsia="仿宋_GB2312" w:cs="仿宋_GB2312"/>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1116.5</w:t>
      </w:r>
      <w:r>
        <w:rPr>
          <w:rFonts w:hint="eastAsia" w:asciiTheme="minorEastAsia" w:hAnsiTheme="minorEastAsia" w:eastAsiaTheme="minorEastAsia"/>
          <w:sz w:val="32"/>
          <w:szCs w:val="32"/>
        </w:rPr>
        <w:t>万元。与上年</w:t>
      </w:r>
      <w:r>
        <w:rPr>
          <w:rFonts w:hint="eastAsia" w:asciiTheme="minorEastAsia" w:hAnsiTheme="minorEastAsia"/>
          <w:sz w:val="32"/>
          <w:szCs w:val="32"/>
          <w:lang w:eastAsia="zh-CN"/>
        </w:rPr>
        <w:t>同口径</w:t>
      </w:r>
      <w:r>
        <w:rPr>
          <w:rFonts w:hint="eastAsia" w:asciiTheme="minorEastAsia" w:hAnsiTheme="minorEastAsia" w:eastAsiaTheme="minorEastAsia"/>
          <w:sz w:val="32"/>
          <w:szCs w:val="32"/>
        </w:rPr>
        <w:t>相比，</w:t>
      </w:r>
      <w:r>
        <w:rPr>
          <w:rFonts w:hint="eastAsia" w:asciiTheme="minorEastAsia" w:hAnsiTheme="minorEastAsia"/>
          <w:sz w:val="32"/>
          <w:szCs w:val="32"/>
          <w:lang w:eastAsia="zh-CN"/>
        </w:rPr>
        <w:t>相、支总计各</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lang w:val="en-US" w:eastAsia="zh-CN"/>
        </w:rPr>
        <w:t>256.8</w:t>
      </w:r>
      <w:r>
        <w:rPr>
          <w:rFonts w:hint="eastAsia" w:asciiTheme="minorEastAsia" w:hAnsiTheme="minorEastAsia" w:eastAsiaTheme="minorEastAsia"/>
          <w:sz w:val="32"/>
          <w:szCs w:val="32"/>
        </w:rPr>
        <w:t>万元，增长</w:t>
      </w:r>
      <w:r>
        <w:rPr>
          <w:rFonts w:hint="eastAsia" w:asciiTheme="minorEastAsia" w:hAnsiTheme="minorEastAsia"/>
          <w:sz w:val="32"/>
          <w:szCs w:val="32"/>
          <w:lang w:val="en-US" w:eastAsia="zh-CN"/>
        </w:rPr>
        <w:t>29.9</w:t>
      </w:r>
      <w:r>
        <w:rPr>
          <w:rFonts w:hint="eastAsia" w:asciiTheme="minorEastAsia" w:hAnsiTheme="minorEastAsia" w:eastAsiaTheme="minorEastAsia"/>
          <w:sz w:val="32"/>
          <w:szCs w:val="32"/>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原因一是人员经费及公用经费标准提高，二是垃圾填埋场工程费用，三是防广告</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办公开支的增加。</w:t>
      </w:r>
    </w:p>
    <w:p>
      <w:pPr>
        <w:pStyle w:val="11"/>
        <w:numPr>
          <w:ilvl w:val="0"/>
          <w:numId w:val="0"/>
        </w:numPr>
        <w:rPr>
          <w:rFonts w:hint="eastAsia" w:hAnsi="黑体"/>
          <w:b/>
          <w:sz w:val="32"/>
          <w:szCs w:val="32"/>
        </w:rPr>
      </w:pPr>
      <w:r>
        <w:rPr>
          <w:rFonts w:hint="eastAsia" w:hAnsi="黑体"/>
          <w:b/>
          <w:sz w:val="32"/>
          <w:szCs w:val="32"/>
          <w:lang w:eastAsia="zh-CN"/>
        </w:rPr>
        <w:t>二、</w:t>
      </w:r>
      <w:r>
        <w:rPr>
          <w:rFonts w:hint="eastAsia" w:hAnsi="黑体"/>
          <w:b/>
          <w:sz w:val="32"/>
          <w:szCs w:val="32"/>
        </w:rPr>
        <w:t>收入决算情况说明</w:t>
      </w:r>
    </w:p>
    <w:p>
      <w:pPr>
        <w:pStyle w:val="11"/>
        <w:numPr>
          <w:ilvl w:val="0"/>
          <w:numId w:val="0"/>
        </w:numPr>
        <w:rPr>
          <w:rFonts w:hint="eastAsia" w:hAnsi="黑体"/>
          <w:b/>
          <w:sz w:val="32"/>
          <w:szCs w:val="32"/>
        </w:rPr>
      </w:pPr>
      <w:r>
        <w:rPr>
          <w:rFonts w:hint="eastAsia" w:ascii="仿宋_GB2312" w:hAnsi="仿宋_GB2312" w:eastAsia="仿宋_GB2312" w:cs="仿宋_GB2312"/>
          <w:kern w:val="0"/>
          <w:sz w:val="28"/>
          <w:szCs w:val="28"/>
        </w:rPr>
        <w:t>本年收入为：财政拨款收入</w:t>
      </w:r>
      <w:r>
        <w:rPr>
          <w:rFonts w:hint="eastAsia" w:ascii="仿宋_GB2312" w:hAnsi="仿宋_GB2312" w:eastAsia="仿宋_GB2312" w:cs="仿宋_GB2312"/>
          <w:kern w:val="0"/>
          <w:sz w:val="28"/>
          <w:szCs w:val="28"/>
          <w:lang w:val="en-US" w:eastAsia="zh-CN"/>
        </w:rPr>
        <w:t>1116.5</w:t>
      </w:r>
      <w:r>
        <w:rPr>
          <w:rFonts w:hint="eastAsia" w:ascii="仿宋_GB2312" w:hAnsi="仿宋_GB2312" w:eastAsia="仿宋_GB2312" w:cs="仿宋_GB2312"/>
          <w:kern w:val="0"/>
          <w:sz w:val="28"/>
          <w:szCs w:val="28"/>
        </w:rPr>
        <w:t>万元，占比100%。</w:t>
      </w:r>
    </w:p>
    <w:p>
      <w:pPr>
        <w:pStyle w:val="11"/>
        <w:rPr>
          <w:rFonts w:hAnsi="黑体"/>
          <w:b/>
          <w:sz w:val="32"/>
          <w:szCs w:val="32"/>
        </w:rPr>
      </w:pPr>
      <w:r>
        <w:rPr>
          <w:rFonts w:hint="eastAsia" w:hAnsi="黑体"/>
          <w:b/>
          <w:sz w:val="32"/>
          <w:szCs w:val="32"/>
        </w:rPr>
        <w:t>三、支出决算情况说明</w:t>
      </w:r>
    </w:p>
    <w:p>
      <w:pPr>
        <w:widowControl/>
        <w:spacing w:line="360" w:lineRule="auto"/>
        <w:ind w:firstLine="640" w:firstLineChars="200"/>
        <w:rPr>
          <w:rFonts w:hint="eastAsia" w:ascii="仿宋_GB2312" w:hAnsi="仿宋_GB2312" w:eastAsia="仿宋_GB2312" w:cs="仿宋_GB2312"/>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1116.5</w:t>
      </w:r>
      <w:r>
        <w:rPr>
          <w:rFonts w:hint="eastAsia" w:asciiTheme="minorEastAsia" w:hAnsiTheme="minorEastAsia" w:eastAsiaTheme="minorEastAsia"/>
          <w:sz w:val="32"/>
          <w:szCs w:val="32"/>
        </w:rPr>
        <w:t>万元，其中：</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908.1</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81.4</w:t>
      </w:r>
      <w:r>
        <w:rPr>
          <w:rFonts w:hint="eastAsia" w:ascii="仿宋_GB2312" w:hAnsi="仿宋_GB2312" w:eastAsia="仿宋_GB2312" w:cs="仿宋_GB2312"/>
          <w:sz w:val="32"/>
          <w:szCs w:val="32"/>
        </w:rPr>
        <w:t>%；公共安全支出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万元，占比0.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01%；文化体育与传媒支出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万元，占比0.</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%；医疗卫生和计划生育支出</w:t>
      </w:r>
      <w:r>
        <w:rPr>
          <w:rFonts w:hint="eastAsia" w:ascii="仿宋_GB2312" w:hAnsi="仿宋_GB2312" w:eastAsia="仿宋_GB2312" w:cs="仿宋_GB2312"/>
          <w:sz w:val="32"/>
          <w:szCs w:val="32"/>
          <w:lang w:val="en-US" w:eastAsia="zh-CN"/>
        </w:rPr>
        <w:t>10.91</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节能环保</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rPr>
        <w:t>%，农林水事务支出</w:t>
      </w:r>
      <w:r>
        <w:rPr>
          <w:rFonts w:hint="eastAsia" w:ascii="仿宋_GB2312" w:hAnsi="仿宋_GB2312" w:eastAsia="仿宋_GB2312" w:cs="仿宋_GB2312"/>
          <w:sz w:val="32"/>
          <w:szCs w:val="32"/>
          <w:lang w:eastAsia="zh-CN"/>
        </w:rPr>
        <w:t>及城乡社区支出</w:t>
      </w:r>
      <w:r>
        <w:rPr>
          <w:rFonts w:hint="eastAsia" w:ascii="仿宋_GB2312" w:hAnsi="仿宋_GB2312" w:eastAsia="仿宋_GB2312" w:cs="仿宋_GB2312"/>
          <w:sz w:val="32"/>
          <w:szCs w:val="32"/>
          <w:lang w:val="en-US" w:eastAsia="zh-CN"/>
        </w:rPr>
        <w:t>77.5</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自然资源海洋气象支出</w:t>
      </w:r>
      <w:r>
        <w:rPr>
          <w:rFonts w:hint="eastAsia" w:ascii="仿宋_GB2312" w:hAnsi="仿宋_GB2312" w:eastAsia="仿宋_GB2312" w:cs="仿宋_GB2312"/>
          <w:sz w:val="32"/>
          <w:szCs w:val="32"/>
          <w:lang w:val="en-US" w:eastAsia="zh-CN"/>
        </w:rPr>
        <w:t>66.5万元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占比</w:t>
      </w:r>
      <w:r>
        <w:rPr>
          <w:rFonts w:hint="eastAsia" w:ascii="仿宋_GB2312" w:hAnsi="仿宋_GB2312" w:eastAsia="仿宋_GB2312" w:cs="仿宋_GB2312"/>
          <w:sz w:val="32"/>
          <w:szCs w:val="32"/>
          <w:lang w:val="en-US" w:eastAsia="zh-CN"/>
        </w:rPr>
        <w:t>6%，应急管理及其他支出30万元，占比2.7%，</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1116.5</w:t>
      </w:r>
      <w:r>
        <w:rPr>
          <w:rFonts w:hint="eastAsia" w:ascii="仿宋_GB2312" w:hAnsi="仿宋_GB2312" w:eastAsia="仿宋_GB2312" w:cs="仿宋_GB2312"/>
          <w:sz w:val="32"/>
          <w:szCs w:val="32"/>
        </w:rPr>
        <w:t>万元。</w:t>
      </w:r>
    </w:p>
    <w:p>
      <w:pPr>
        <w:pStyle w:val="11"/>
        <w:ind w:firstLine="640" w:firstLineChars="200"/>
        <w:rPr>
          <w:rFonts w:asciiTheme="minorEastAsia" w:hAnsiTheme="minorEastAsia" w:eastAsiaTheme="minorEastAsia"/>
          <w:sz w:val="32"/>
          <w:szCs w:val="32"/>
        </w:rPr>
      </w:pPr>
    </w:p>
    <w:p>
      <w:pPr>
        <w:pStyle w:val="11"/>
        <w:rPr>
          <w:rFonts w:hAnsi="黑体"/>
          <w:b/>
          <w:sz w:val="32"/>
          <w:szCs w:val="32"/>
          <w:highlight w:val="none"/>
        </w:rPr>
      </w:pPr>
      <w:r>
        <w:rPr>
          <w:rFonts w:hint="eastAsia" w:hAnsi="黑体"/>
          <w:b/>
          <w:sz w:val="32"/>
          <w:szCs w:val="32"/>
          <w:highlight w:val="none"/>
        </w:rPr>
        <w:t>四、财政拨款收入支出决算总体情况说明</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年水东镇人民政府财政拨款收入</w:t>
      </w:r>
      <w:r>
        <w:rPr>
          <w:rFonts w:hint="eastAsia" w:ascii="仿宋_GB2312" w:hAnsi="仿宋_GB2312" w:eastAsia="仿宋_GB2312" w:cs="仿宋_GB2312"/>
          <w:sz w:val="32"/>
          <w:szCs w:val="32"/>
          <w:lang w:val="en-US" w:eastAsia="zh-CN"/>
        </w:rPr>
        <w:t>1116.5</w:t>
      </w:r>
      <w:r>
        <w:rPr>
          <w:rFonts w:hint="eastAsia" w:ascii="仿宋_GB2312" w:hAnsi="仿宋_GB2312" w:eastAsia="仿宋_GB2312" w:cs="仿宋_GB2312"/>
          <w:kern w:val="0"/>
          <w:sz w:val="32"/>
          <w:szCs w:val="32"/>
        </w:rPr>
        <w:t>万元，财政拨款支出</w:t>
      </w:r>
      <w:r>
        <w:rPr>
          <w:rFonts w:hint="eastAsia" w:ascii="仿宋_GB2312" w:hAnsi="仿宋_GB2312" w:eastAsia="仿宋_GB2312" w:cs="仿宋_GB2312"/>
          <w:sz w:val="32"/>
          <w:szCs w:val="32"/>
          <w:lang w:val="en-US" w:eastAsia="zh-CN"/>
        </w:rPr>
        <w:t>1116.5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收支结余为</w:t>
      </w:r>
      <w:r>
        <w:rPr>
          <w:rFonts w:hint="eastAsia" w:ascii="仿宋_GB2312" w:hAnsi="仿宋_GB2312" w:eastAsia="仿宋_GB2312" w:cs="仿宋_GB2312"/>
          <w:kern w:val="0"/>
          <w:sz w:val="32"/>
          <w:szCs w:val="32"/>
          <w:lang w:val="en-US" w:eastAsia="zh-CN"/>
        </w:rPr>
        <w:t>0万元，与2019收入支出，均增加256.8万元，</w:t>
      </w:r>
      <w:r>
        <w:rPr>
          <w:rFonts w:hint="eastAsia" w:ascii="仿宋" w:hAnsi="仿宋" w:eastAsia="仿宋" w:cs="仿宋"/>
          <w:sz w:val="32"/>
          <w:szCs w:val="32"/>
        </w:rPr>
        <w:t>主要是因为</w:t>
      </w:r>
      <w:r>
        <w:rPr>
          <w:rFonts w:hint="eastAsia" w:ascii="仿宋" w:hAnsi="仿宋" w:eastAsia="仿宋" w:cs="仿宋"/>
          <w:kern w:val="0"/>
          <w:sz w:val="32"/>
          <w:szCs w:val="32"/>
          <w:lang w:val="en-US" w:eastAsia="zh-CN"/>
        </w:rPr>
        <w:t>2021年</w:t>
      </w:r>
      <w:r>
        <w:rPr>
          <w:rFonts w:hint="eastAsia" w:ascii="仿宋" w:hAnsi="仿宋" w:eastAsia="仿宋" w:cs="仿宋"/>
          <w:sz w:val="32"/>
          <w:szCs w:val="32"/>
          <w:lang w:val="en-US" w:eastAsia="zh-CN"/>
        </w:rPr>
        <w:t>为拨村级资金、垃圾填埋场工程、空心房整治及临时用地补偿款资金等、镇政府环卫费用、广告</w:t>
      </w:r>
      <w:r>
        <w:rPr>
          <w:rFonts w:hint="eastAsia" w:ascii="仿宋" w:hAnsi="仿宋" w:eastAsia="仿宋" w:cs="仿宋"/>
          <w:sz w:val="32"/>
          <w:szCs w:val="32"/>
          <w:highlight w:val="none"/>
          <w:lang w:val="en-US" w:eastAsia="zh-CN"/>
        </w:rPr>
        <w:t>印刷费、办公费、疫情防控宣传、信访接访差旅费等开支</w:t>
      </w:r>
      <w:r>
        <w:rPr>
          <w:rFonts w:hint="eastAsia" w:ascii="仿宋" w:hAnsi="仿宋" w:eastAsia="仿宋" w:cs="仿宋"/>
          <w:sz w:val="32"/>
          <w:szCs w:val="32"/>
          <w:highlight w:val="none"/>
        </w:rPr>
        <w:t>有所增加</w:t>
      </w:r>
      <w:r>
        <w:rPr>
          <w:rFonts w:hint="eastAsia" w:ascii="仿宋" w:hAnsi="仿宋" w:eastAsia="仿宋" w:cs="仿宋"/>
          <w:sz w:val="32"/>
          <w:szCs w:val="32"/>
          <w:highlight w:val="none"/>
          <w:lang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keepNext w:val="0"/>
        <w:keepLines w:val="0"/>
        <w:pageBreakBefore w:val="0"/>
        <w:widowControl/>
        <w:kinsoku/>
        <w:wordWrap/>
        <w:overflowPunct/>
        <w:topLinePunct w:val="0"/>
        <w:bidi w:val="0"/>
        <w:snapToGrid/>
        <w:spacing w:line="360" w:lineRule="auto"/>
        <w:ind w:left="0" w:leftChars="0" w:right="0" w:rightChars="0" w:firstLine="640" w:firstLineChars="200"/>
        <w:jc w:val="both"/>
        <w:textAlignment w:val="auto"/>
        <w:rPr>
          <w:rFonts w:hint="eastAsia" w:ascii="宋体" w:hAnsi="宋体" w:eastAsia="宋体" w:cs="宋体"/>
          <w:b/>
          <w:bCs/>
          <w:kern w:val="0"/>
          <w:sz w:val="32"/>
          <w:szCs w:val="32"/>
        </w:rPr>
      </w:pPr>
      <w:r>
        <w:rPr>
          <w:rFonts w:hint="eastAsia" w:ascii="宋体" w:hAnsi="宋体" w:eastAsia="宋体" w:cs="宋体"/>
          <w:kern w:val="0"/>
          <w:sz w:val="32"/>
          <w:szCs w:val="32"/>
          <w:lang w:val="en-US" w:eastAsia="zh-CN"/>
        </w:rPr>
        <w:t>2021年水东镇人民政府一般公共预算</w:t>
      </w:r>
      <w:r>
        <w:rPr>
          <w:rFonts w:hint="eastAsia" w:ascii="宋体" w:hAnsi="宋体" w:eastAsia="宋体" w:cs="宋体"/>
          <w:kern w:val="0"/>
          <w:sz w:val="32"/>
          <w:szCs w:val="32"/>
        </w:rPr>
        <w:t>财政拨款支</w:t>
      </w:r>
      <w:r>
        <w:rPr>
          <w:rFonts w:hint="eastAsia" w:ascii="宋体" w:hAnsi="宋体" w:eastAsia="宋体" w:cs="宋体"/>
          <w:kern w:val="0"/>
          <w:sz w:val="32"/>
          <w:szCs w:val="32"/>
          <w:lang w:eastAsia="zh-CN"/>
        </w:rPr>
        <w:t>出</w:t>
      </w:r>
      <w:r>
        <w:rPr>
          <w:rFonts w:hint="eastAsia" w:ascii="宋体" w:hAnsi="宋体" w:eastAsia="宋体" w:cs="宋体"/>
          <w:kern w:val="0"/>
          <w:sz w:val="32"/>
          <w:szCs w:val="32"/>
          <w:lang w:val="en-US" w:eastAsia="zh-CN"/>
        </w:rPr>
        <w:t>1116.5万元，占支出合计的100%，与2020年相比</w:t>
      </w:r>
      <w:r>
        <w:rPr>
          <w:rFonts w:hint="eastAsia" w:ascii="宋体" w:hAnsi="宋体" w:eastAsia="宋体" w:cs="宋体"/>
          <w:sz w:val="32"/>
          <w:szCs w:val="32"/>
        </w:rPr>
        <w:t>支出</w:t>
      </w:r>
      <w:r>
        <w:rPr>
          <w:rFonts w:hint="eastAsia" w:ascii="宋体" w:hAnsi="宋体" w:eastAsia="宋体" w:cs="宋体"/>
          <w:sz w:val="32"/>
          <w:szCs w:val="32"/>
          <w:lang w:eastAsia="zh-CN"/>
        </w:rPr>
        <w:t>有所增加，</w:t>
      </w:r>
      <w:r>
        <w:rPr>
          <w:rFonts w:hint="eastAsia" w:ascii="宋体" w:hAnsi="宋体" w:eastAsia="宋体" w:cs="宋体"/>
          <w:sz w:val="32"/>
          <w:szCs w:val="32"/>
          <w:lang w:val="en-US" w:eastAsia="zh-CN"/>
        </w:rPr>
        <w:t>增加256.8万元，增加29.9%，</w:t>
      </w:r>
      <w:r>
        <w:rPr>
          <w:rFonts w:hint="eastAsia" w:ascii="宋体" w:hAnsi="宋体" w:eastAsia="宋体" w:cs="宋体"/>
          <w:sz w:val="32"/>
          <w:szCs w:val="32"/>
          <w:lang w:eastAsia="zh-CN"/>
        </w:rPr>
        <w:t>主要</w:t>
      </w:r>
      <w:r>
        <w:rPr>
          <w:rFonts w:hint="eastAsia" w:ascii="宋体" w:hAnsi="宋体" w:eastAsia="宋体" w:cs="宋体"/>
          <w:sz w:val="32"/>
          <w:szCs w:val="32"/>
          <w:lang w:val="en-US" w:eastAsia="zh-CN"/>
        </w:rPr>
        <w:t>原因</w:t>
      </w:r>
      <w:r>
        <w:rPr>
          <w:rFonts w:hint="eastAsia" w:ascii="宋体" w:hAnsi="宋体" w:eastAsia="宋体" w:cs="宋体"/>
          <w:sz w:val="32"/>
          <w:szCs w:val="32"/>
          <w:lang w:eastAsia="zh-CN"/>
        </w:rPr>
        <w:t>为人员工资及工作经费，</w:t>
      </w:r>
      <w:r>
        <w:rPr>
          <w:rFonts w:hint="eastAsia" w:ascii="宋体" w:hAnsi="宋体" w:eastAsia="宋体" w:cs="宋体"/>
          <w:sz w:val="32"/>
          <w:szCs w:val="32"/>
          <w:lang w:val="en-US" w:eastAsia="zh-CN"/>
        </w:rPr>
        <w:t>疫情防控</w:t>
      </w:r>
      <w:r>
        <w:rPr>
          <w:rFonts w:hint="eastAsia" w:ascii="宋体" w:hAnsi="宋体" w:eastAsia="宋体" w:cs="宋体"/>
          <w:sz w:val="32"/>
          <w:szCs w:val="32"/>
          <w:lang w:eastAsia="zh-CN"/>
        </w:rPr>
        <w:t>宣传，垃圾填埋场工程款，办公开支及农村环境保护支出有所增加</w:t>
      </w:r>
      <w:r>
        <w:rPr>
          <w:rFonts w:hint="eastAsia" w:ascii="宋体" w:hAnsi="宋体" w:eastAsia="宋体" w:cs="宋体"/>
          <w:sz w:val="32"/>
          <w:szCs w:val="32"/>
        </w:rPr>
        <w:t>。</w:t>
      </w:r>
    </w:p>
    <w:p>
      <w:pPr>
        <w:pStyle w:val="11"/>
        <w:ind w:firstLine="480" w:firstLineChars="1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pPr>
        <w:pStyle w:val="11"/>
        <w:ind w:firstLine="800" w:firstLineChars="250"/>
        <w:rPr>
          <w:rFonts w:hint="eastAsia" w:ascii="仿宋_GB2312" w:hAnsi="仿宋_GB2312" w:eastAsia="仿宋_GB2312" w:cs="仿宋_GB2312"/>
          <w:sz w:val="32"/>
          <w:szCs w:val="32"/>
        </w:rPr>
      </w:pPr>
      <w:r>
        <w:rPr>
          <w:rFonts w:hint="eastAsia" w:asciiTheme="minorEastAsia" w:hAnsiTheme="minorEastAsia" w:eastAsiaTheme="minorEastAsia"/>
          <w:sz w:val="32"/>
          <w:szCs w:val="32"/>
        </w:rPr>
        <w:t>2021年度</w:t>
      </w:r>
      <w:r>
        <w:rPr>
          <w:rFonts w:hint="eastAsia" w:ascii="仿宋_GB2312" w:hAnsi="仿宋_GB2312" w:eastAsia="仿宋_GB2312" w:cs="仿宋_GB2312"/>
          <w:kern w:val="0"/>
          <w:sz w:val="32"/>
          <w:szCs w:val="32"/>
        </w:rPr>
        <w:t>水东镇人民政府财政拨款支出情况为</w:t>
      </w:r>
      <w:r>
        <w:rPr>
          <w:rFonts w:hint="eastAsia" w:ascii="仿宋_GB2312" w:hAnsi="仿宋_GB2312" w:eastAsia="仿宋_GB2312" w:cs="仿宋_GB2312"/>
          <w:kern w:val="0"/>
          <w:sz w:val="28"/>
          <w:szCs w:val="28"/>
          <w:lang w:eastAsia="zh-CN"/>
        </w:rPr>
        <w:t>：</w:t>
      </w:r>
      <w:r>
        <w:rPr>
          <w:rFonts w:hint="eastAsia" w:asciiTheme="minorEastAsia" w:hAnsiTheme="minorEastAsia" w:eastAsiaTheme="minorEastAsia"/>
          <w:sz w:val="32"/>
          <w:szCs w:val="32"/>
        </w:rPr>
        <w:t>其中：</w:t>
      </w:r>
      <w:r>
        <w:rPr>
          <w:rFonts w:hint="eastAsia" w:ascii="仿宋_GB2312" w:hAnsi="仿宋_GB2312" w:eastAsia="仿宋_GB2312" w:cs="仿宋_GB2312"/>
          <w:sz w:val="32"/>
          <w:szCs w:val="32"/>
        </w:rPr>
        <w:t>一般公共服务支出</w:t>
      </w:r>
      <w:r>
        <w:rPr>
          <w:rFonts w:hint="eastAsia" w:ascii="仿宋_GB2312" w:hAnsi="仿宋_GB2312" w:eastAsia="仿宋_GB2312" w:cs="仿宋_GB2312"/>
          <w:sz w:val="32"/>
          <w:szCs w:val="32"/>
          <w:lang w:val="en-US" w:eastAsia="zh-CN"/>
        </w:rPr>
        <w:t>908.1</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81.4</w:t>
      </w:r>
      <w:r>
        <w:rPr>
          <w:rFonts w:hint="eastAsia" w:ascii="仿宋_GB2312" w:hAnsi="仿宋_GB2312" w:eastAsia="仿宋_GB2312" w:cs="仿宋_GB2312"/>
          <w:sz w:val="32"/>
          <w:szCs w:val="32"/>
        </w:rPr>
        <w:t>%；公共安全支出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万元，占比0.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01%；文化体育与传媒支出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万元，占比0.</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%；医疗卫生和计划生育支出</w:t>
      </w:r>
      <w:r>
        <w:rPr>
          <w:rFonts w:hint="eastAsia" w:ascii="仿宋_GB2312" w:hAnsi="仿宋_GB2312" w:eastAsia="仿宋_GB2312" w:cs="仿宋_GB2312"/>
          <w:sz w:val="32"/>
          <w:szCs w:val="32"/>
          <w:lang w:val="en-US" w:eastAsia="zh-CN"/>
        </w:rPr>
        <w:t>10.91</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节能环保</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rPr>
        <w:t>%，农林水事务支出</w:t>
      </w:r>
      <w:r>
        <w:rPr>
          <w:rFonts w:hint="eastAsia" w:ascii="仿宋_GB2312" w:hAnsi="仿宋_GB2312" w:eastAsia="仿宋_GB2312" w:cs="仿宋_GB2312"/>
          <w:sz w:val="32"/>
          <w:szCs w:val="32"/>
          <w:lang w:eastAsia="zh-CN"/>
        </w:rPr>
        <w:t>及城乡社区支出</w:t>
      </w:r>
      <w:r>
        <w:rPr>
          <w:rFonts w:hint="eastAsia" w:ascii="仿宋_GB2312" w:hAnsi="仿宋_GB2312" w:eastAsia="仿宋_GB2312" w:cs="仿宋_GB2312"/>
          <w:sz w:val="32"/>
          <w:szCs w:val="32"/>
          <w:lang w:val="en-US" w:eastAsia="zh-CN"/>
        </w:rPr>
        <w:t>77.5</w:t>
      </w:r>
      <w:r>
        <w:rPr>
          <w:rFonts w:hint="eastAsia" w:ascii="仿宋_GB2312" w:hAnsi="仿宋_GB2312" w:eastAsia="仿宋_GB2312" w:cs="仿宋_GB2312"/>
          <w:sz w:val="32"/>
          <w:szCs w:val="32"/>
        </w:rPr>
        <w:t>万元，占比</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自然资源海洋气象支出</w:t>
      </w:r>
      <w:r>
        <w:rPr>
          <w:rFonts w:hint="eastAsia" w:ascii="仿宋_GB2312" w:hAnsi="仿宋_GB2312" w:eastAsia="仿宋_GB2312" w:cs="仿宋_GB2312"/>
          <w:sz w:val="32"/>
          <w:szCs w:val="32"/>
          <w:lang w:val="en-US" w:eastAsia="zh-CN"/>
        </w:rPr>
        <w:t>66.5万元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占比</w:t>
      </w:r>
      <w:r>
        <w:rPr>
          <w:rFonts w:hint="eastAsia" w:ascii="仿宋_GB2312" w:hAnsi="仿宋_GB2312" w:eastAsia="仿宋_GB2312" w:cs="仿宋_GB2312"/>
          <w:sz w:val="32"/>
          <w:szCs w:val="32"/>
          <w:lang w:val="en-US" w:eastAsia="zh-CN"/>
        </w:rPr>
        <w:t>6%，应急管理及其他支出30万元，占比2.7%，</w:t>
      </w:r>
      <w:r>
        <w:rPr>
          <w:rFonts w:hint="eastAsia" w:ascii="仿宋_GB2312" w:hAnsi="仿宋_GB2312" w:eastAsia="仿宋_GB2312" w:cs="仿宋_GB2312"/>
          <w:sz w:val="32"/>
          <w:szCs w:val="32"/>
        </w:rPr>
        <w:t>共计</w:t>
      </w:r>
      <w:r>
        <w:rPr>
          <w:rFonts w:hint="eastAsia" w:ascii="仿宋_GB2312" w:hAnsi="仿宋_GB2312" w:eastAsia="仿宋_GB2312" w:cs="仿宋_GB2312"/>
          <w:sz w:val="32"/>
          <w:szCs w:val="32"/>
          <w:lang w:val="en-US" w:eastAsia="zh-CN"/>
        </w:rPr>
        <w:t>1116.5</w:t>
      </w:r>
      <w:r>
        <w:rPr>
          <w:rFonts w:hint="eastAsia" w:ascii="仿宋_GB2312" w:hAnsi="仿宋_GB2312" w:eastAsia="仿宋_GB2312" w:cs="仿宋_GB2312"/>
          <w:sz w:val="32"/>
          <w:szCs w:val="32"/>
        </w:rPr>
        <w:t>万元</w:t>
      </w:r>
    </w:p>
    <w:p>
      <w:pPr>
        <w:pStyle w:val="11"/>
        <w:ind w:firstLine="800" w:firstLineChars="25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pPr>
        <w:spacing w:line="360" w:lineRule="auto"/>
        <w:ind w:firstLine="640" w:firstLineChars="200"/>
        <w:rPr>
          <w:rFonts w:hint="default" w:ascii="仿宋_GB2312" w:hAnsi="仿宋_GB2312" w:eastAsia="仿宋_GB2312" w:cs="仿宋_GB2312"/>
          <w:b/>
          <w:bCs/>
          <w:kern w:val="0"/>
          <w:sz w:val="28"/>
          <w:szCs w:val="28"/>
          <w:highlight w:val="yellow"/>
          <w:lang w:val="en-US" w:eastAsia="zh-CN"/>
        </w:rPr>
      </w:pPr>
      <w:r>
        <w:rPr>
          <w:rFonts w:hint="eastAsia" w:asciiTheme="minorEastAsia" w:hAnsiTheme="minorEastAsia" w:eastAsiaTheme="minorEastAsia"/>
          <w:sz w:val="32"/>
          <w:szCs w:val="32"/>
          <w:highlight w:val="none"/>
        </w:rPr>
        <w:t>2021年度财政拨款支出年初预算数为</w:t>
      </w:r>
      <w:r>
        <w:rPr>
          <w:rFonts w:hint="eastAsia" w:ascii="宋体" w:hAnsi="宋体" w:cs="宋体"/>
          <w:sz w:val="30"/>
          <w:szCs w:val="30"/>
          <w:highlight w:val="none"/>
          <w:lang w:val="en-US" w:eastAsia="zh-CN"/>
        </w:rPr>
        <w:t>613.92</w:t>
      </w:r>
      <w:r>
        <w:rPr>
          <w:rFonts w:hint="eastAsia" w:asciiTheme="minorEastAsia" w:hAnsiTheme="minorEastAsia" w:eastAsiaTheme="minorEastAsia"/>
          <w:sz w:val="32"/>
          <w:szCs w:val="32"/>
          <w:highlight w:val="none"/>
        </w:rPr>
        <w:t>万元，支出决算数为</w:t>
      </w:r>
      <w:r>
        <w:rPr>
          <w:rFonts w:hint="eastAsia" w:asciiTheme="minorEastAsia" w:hAnsiTheme="minorEastAsia" w:eastAsiaTheme="minorEastAsia"/>
          <w:sz w:val="32"/>
          <w:szCs w:val="32"/>
          <w:highlight w:val="none"/>
          <w:lang w:val="en-US" w:eastAsia="zh-CN"/>
        </w:rPr>
        <w:t>1116.5</w:t>
      </w:r>
      <w:r>
        <w:rPr>
          <w:rFonts w:hint="eastAsia" w:asciiTheme="minorEastAsia" w:hAnsiTheme="minorEastAsia" w:eastAsiaTheme="minorEastAsia"/>
          <w:sz w:val="32"/>
          <w:szCs w:val="32"/>
          <w:highlight w:val="none"/>
        </w:rPr>
        <w:t>万元，</w:t>
      </w:r>
      <w:r>
        <w:rPr>
          <w:rFonts w:hint="eastAsia" w:ascii="仿宋" w:hAnsi="仿宋" w:eastAsia="仿宋" w:cs="仿宋"/>
          <w:sz w:val="32"/>
          <w:szCs w:val="32"/>
          <w:highlight w:val="none"/>
          <w:lang w:val="en-US" w:eastAsia="zh-CN"/>
        </w:rPr>
        <w:t>财政拨款支出比年初预算数多出</w:t>
      </w:r>
      <w:r>
        <w:rPr>
          <w:rFonts w:hint="eastAsia" w:ascii="仿宋_GB2312" w:hAnsi="仿宋_GB2312" w:eastAsia="仿宋_GB2312" w:cs="仿宋_GB2312"/>
          <w:sz w:val="32"/>
          <w:szCs w:val="32"/>
          <w:highlight w:val="none"/>
          <w:lang w:val="en-US" w:eastAsia="zh-CN"/>
        </w:rPr>
        <w:t>502.58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28"/>
          <w:szCs w:val="28"/>
          <w:highlight w:val="none"/>
          <w:lang w:eastAsia="zh-CN"/>
        </w:rPr>
        <w:t>，</w:t>
      </w:r>
      <w:r>
        <w:rPr>
          <w:rFonts w:hint="eastAsia" w:asciiTheme="minorEastAsia" w:hAnsiTheme="minorEastAsia" w:eastAsiaTheme="minorEastAsia"/>
          <w:sz w:val="32"/>
          <w:szCs w:val="32"/>
          <w:highlight w:val="none"/>
        </w:rPr>
        <w:t>完成年初预算的</w:t>
      </w:r>
      <w:r>
        <w:rPr>
          <w:rFonts w:hint="eastAsia" w:asciiTheme="minorEastAsia" w:hAnsiTheme="minorEastAsia" w:eastAsiaTheme="minorEastAsia"/>
          <w:sz w:val="32"/>
          <w:szCs w:val="32"/>
          <w:highlight w:val="none"/>
          <w:lang w:val="en-US" w:eastAsia="zh-CN"/>
        </w:rPr>
        <w:t>18</w:t>
      </w:r>
      <w:r>
        <w:rPr>
          <w:rFonts w:hint="eastAsia" w:asciiTheme="minorEastAsia" w:hAnsiTheme="minorEastAsia"/>
          <w:sz w:val="32"/>
          <w:szCs w:val="32"/>
          <w:highlight w:val="none"/>
          <w:lang w:val="en-US" w:eastAsia="zh-CN"/>
        </w:rPr>
        <w:t>1</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sz w:val="32"/>
          <w:szCs w:val="32"/>
          <w:highlight w:val="none"/>
          <w:lang w:val="en-US" w:eastAsia="zh-CN"/>
        </w:rPr>
        <w:t>9</w:t>
      </w:r>
      <w:r>
        <w:rPr>
          <w:rFonts w:hint="eastAsia" w:asciiTheme="minorEastAsia" w:hAnsiTheme="minorEastAsia" w:eastAsiaTheme="minorEastAsia"/>
          <w:sz w:val="32"/>
          <w:szCs w:val="32"/>
          <w:highlight w:val="none"/>
        </w:rPr>
        <w:t>%，</w:t>
      </w:r>
      <w:r>
        <w:rPr>
          <w:rFonts w:hint="eastAsia" w:ascii="仿宋_GB2312" w:hAnsi="仿宋_GB2312" w:eastAsia="仿宋_GB2312" w:cs="仿宋_GB2312"/>
          <w:sz w:val="28"/>
          <w:szCs w:val="28"/>
          <w:highlight w:val="none"/>
          <w:lang w:eastAsia="zh-CN"/>
        </w:rPr>
        <w:t>其中：</w:t>
      </w:r>
    </w:p>
    <w:p>
      <w:pPr>
        <w:pStyle w:val="11"/>
        <w:numPr>
          <w:ilvl w:val="0"/>
          <w:numId w:val="2"/>
        </w:num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201</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p>
    <w:p>
      <w:pPr>
        <w:pStyle w:val="11"/>
        <w:numPr>
          <w:ilvl w:val="0"/>
          <w:numId w:val="0"/>
        </w:numPr>
        <w:rPr>
          <w:rFonts w:hint="eastAsia" w:ascii="宋体" w:hAnsi="宋体" w:eastAsia="宋体" w:cs="宋体"/>
          <w:kern w:val="0"/>
          <w:sz w:val="28"/>
          <w:szCs w:val="28"/>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613.92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908.01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147.9</w:t>
      </w:r>
      <w:r>
        <w:rPr>
          <w:rFonts w:hint="eastAsia" w:asciiTheme="minorEastAsia" w:hAnsiTheme="minorEastAsia" w:eastAsiaTheme="minorEastAsia"/>
          <w:sz w:val="32"/>
          <w:szCs w:val="32"/>
        </w:rPr>
        <w:t>%，决算数大于年初预算数的主要原因是：</w:t>
      </w:r>
      <w:r>
        <w:rPr>
          <w:rFonts w:hint="eastAsia" w:ascii="宋体" w:hAnsi="宋体" w:eastAsia="宋体" w:cs="宋体"/>
          <w:sz w:val="28"/>
          <w:szCs w:val="28"/>
          <w:lang w:eastAsia="zh-CN"/>
        </w:rPr>
        <w:t>人员工资及工作经费，</w:t>
      </w:r>
      <w:r>
        <w:rPr>
          <w:rFonts w:hint="eastAsia" w:ascii="宋体" w:hAnsi="宋体" w:eastAsia="宋体" w:cs="宋体"/>
          <w:sz w:val="28"/>
          <w:szCs w:val="28"/>
          <w:lang w:val="en-US" w:eastAsia="zh-CN"/>
        </w:rPr>
        <w:t>疫情防控</w:t>
      </w:r>
      <w:r>
        <w:rPr>
          <w:rFonts w:hint="eastAsia" w:ascii="宋体" w:hAnsi="宋体" w:eastAsia="宋体" w:cs="宋体"/>
          <w:sz w:val="28"/>
          <w:szCs w:val="28"/>
          <w:lang w:eastAsia="zh-CN"/>
        </w:rPr>
        <w:t>宣传，办公开支的增加</w:t>
      </w:r>
      <w:r>
        <w:rPr>
          <w:rFonts w:hint="eastAsia" w:ascii="宋体" w:hAnsi="宋体" w:eastAsia="宋体" w:cs="宋体"/>
          <w:sz w:val="28"/>
          <w:szCs w:val="28"/>
        </w:rPr>
        <w:t>。</w:t>
      </w:r>
    </w:p>
    <w:p>
      <w:pPr>
        <w:pStyle w:val="11"/>
        <w:numPr>
          <w:ilvl w:val="0"/>
          <w:numId w:val="2"/>
        </w:numPr>
        <w:ind w:left="0" w:leftChars="0" w:firstLine="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公共安全支出</w:t>
      </w:r>
      <w:r>
        <w:rPr>
          <w:rFonts w:hint="eastAsia" w:asciiTheme="minorEastAsia" w:hAnsiTheme="minorEastAsia" w:eastAsiaTheme="minorEastAsia"/>
          <w:sz w:val="32"/>
          <w:szCs w:val="32"/>
          <w:lang w:val="en-US" w:eastAsia="zh-CN"/>
        </w:rPr>
        <w:t>204(类）02（款）21（项）</w:t>
      </w:r>
    </w:p>
    <w:p>
      <w:pPr>
        <w:pStyle w:val="11"/>
        <w:numPr>
          <w:ilvl w:val="0"/>
          <w:numId w:val="0"/>
        </w:numPr>
        <w:rPr>
          <w:rFonts w:hint="eastAsia" w:eastAsia="宋体" w:asciiTheme="minorEastAsia" w:hAnsiTheme="minorEastAsia"/>
          <w:sz w:val="32"/>
          <w:szCs w:val="32"/>
          <w:lang w:val="en-US" w:eastAsia="zh-CN"/>
        </w:rPr>
      </w:pPr>
      <w:r>
        <w:rPr>
          <w:rFonts w:hint="eastAsia" w:asciiTheme="minorEastAsia" w:hAnsiTheme="minorEastAsia" w:eastAsiaTheme="minorEastAsia"/>
          <w:sz w:val="32"/>
          <w:szCs w:val="32"/>
          <w:lang w:eastAsia="zh-CN"/>
        </w:rPr>
        <w:t>年初预算未安排，决算数为</w:t>
      </w:r>
      <w:r>
        <w:rPr>
          <w:rFonts w:hint="eastAsia" w:asciiTheme="minorEastAsia" w:hAnsiTheme="minorEastAsia" w:eastAsiaTheme="minorEastAsia"/>
          <w:sz w:val="32"/>
          <w:szCs w:val="32"/>
          <w:lang w:val="en-US" w:eastAsia="zh-CN"/>
        </w:rPr>
        <w:t>1万元，</w:t>
      </w:r>
      <w:r>
        <w:rPr>
          <w:rFonts w:hint="eastAsia" w:ascii="宋体" w:hAnsi="宋体" w:eastAsia="宋体" w:cs="宋体"/>
          <w:kern w:val="0"/>
          <w:sz w:val="28"/>
          <w:szCs w:val="28"/>
        </w:rPr>
        <w:t>决算数大于年初预算数的主要原因是</w:t>
      </w:r>
      <w:r>
        <w:rPr>
          <w:rFonts w:hint="eastAsia" w:ascii="宋体" w:hAnsi="宋体" w:eastAsia="宋体" w:cs="宋体"/>
          <w:kern w:val="0"/>
          <w:sz w:val="28"/>
          <w:szCs w:val="28"/>
          <w:lang w:eastAsia="zh-CN"/>
        </w:rPr>
        <w:t>：用于安全生产方面宣传开支。</w:t>
      </w:r>
    </w:p>
    <w:p>
      <w:pPr>
        <w:pStyle w:val="11"/>
        <w:numPr>
          <w:ilvl w:val="0"/>
          <w:numId w:val="2"/>
        </w:numPr>
        <w:ind w:left="0" w:leftChars="0" w:firstLine="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文化旅游体育与传媒支出207(类）01（款）99（项）</w:t>
      </w:r>
    </w:p>
    <w:p>
      <w:pPr>
        <w:pStyle w:val="11"/>
        <w:numPr>
          <w:ilvl w:val="0"/>
          <w:numId w:val="0"/>
        </w:numPr>
        <w:rPr>
          <w:rFonts w:hint="eastAsia" w:ascii="宋体" w:hAnsi="宋体" w:eastAsia="宋体" w:cs="宋体"/>
          <w:sz w:val="28"/>
          <w:szCs w:val="28"/>
          <w:lang w:val="en-US" w:eastAsia="zh-CN"/>
        </w:rPr>
      </w:pPr>
      <w:r>
        <w:rPr>
          <w:rFonts w:hint="eastAsia" w:asciiTheme="minorEastAsia" w:hAnsiTheme="minorEastAsia" w:eastAsiaTheme="minorEastAsia"/>
          <w:sz w:val="32"/>
          <w:szCs w:val="32"/>
          <w:lang w:val="en-US" w:eastAsia="zh-CN"/>
        </w:rPr>
        <w:t>年初预算未安排，决算数为2.37万元，</w:t>
      </w:r>
      <w:r>
        <w:rPr>
          <w:rFonts w:hint="eastAsia" w:ascii="宋体" w:hAnsi="宋体" w:eastAsia="宋体" w:cs="宋体"/>
          <w:kern w:val="0"/>
          <w:sz w:val="28"/>
          <w:szCs w:val="28"/>
        </w:rPr>
        <w:t>决算数大于年初预算数的主要原因是</w:t>
      </w:r>
      <w:r>
        <w:rPr>
          <w:rFonts w:hint="eastAsia" w:ascii="宋体" w:hAnsi="宋体" w:eastAsia="宋体" w:cs="宋体"/>
          <w:kern w:val="0"/>
          <w:sz w:val="28"/>
          <w:szCs w:val="28"/>
          <w:lang w:eastAsia="zh-CN"/>
        </w:rPr>
        <w:t>：</w:t>
      </w:r>
      <w:r>
        <w:rPr>
          <w:rFonts w:hint="eastAsia" w:ascii="宋体" w:hAnsi="宋体" w:eastAsia="宋体" w:cs="宋体"/>
          <w:sz w:val="28"/>
          <w:szCs w:val="28"/>
          <w:lang w:val="en-US" w:eastAsia="zh-CN"/>
        </w:rPr>
        <w:t>宣传费及工作经费的增加。</w:t>
      </w:r>
    </w:p>
    <w:p>
      <w:pPr>
        <w:pStyle w:val="11"/>
        <w:numPr>
          <w:ilvl w:val="0"/>
          <w:numId w:val="2"/>
        </w:numPr>
        <w:ind w:left="0" w:leftChars="0" w:firstLine="0" w:firstLineChars="0"/>
        <w:rPr>
          <w:rFonts w:hint="eastAsia" w:asciiTheme="minorEastAsia" w:hAnsiTheme="minorEastAsia" w:eastAsiaTheme="minorEastAsia"/>
          <w:sz w:val="32"/>
          <w:szCs w:val="32"/>
          <w:lang w:val="en-US" w:eastAsia="zh-CN"/>
        </w:rPr>
      </w:pPr>
      <w:r>
        <w:rPr>
          <w:rFonts w:hint="eastAsia" w:ascii="宋体" w:hAnsi="宋体" w:eastAsia="宋体" w:cs="宋体"/>
          <w:sz w:val="28"/>
          <w:szCs w:val="28"/>
          <w:lang w:val="en-US" w:eastAsia="zh-CN"/>
        </w:rPr>
        <w:t>卫生健康支出</w:t>
      </w:r>
      <w:r>
        <w:rPr>
          <w:rFonts w:hint="eastAsia" w:asciiTheme="minorEastAsia" w:hAnsiTheme="minorEastAsia" w:eastAsiaTheme="minorEastAsia"/>
          <w:sz w:val="32"/>
          <w:szCs w:val="32"/>
          <w:lang w:val="en-US" w:eastAsia="zh-CN"/>
        </w:rPr>
        <w:t>210（类）99（款）99（项）</w:t>
      </w:r>
    </w:p>
    <w:p>
      <w:pPr>
        <w:pStyle w:val="11"/>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年初预算未安排，决算为10.91万元，</w:t>
      </w:r>
      <w:r>
        <w:rPr>
          <w:rFonts w:hint="eastAsia" w:ascii="宋体" w:hAnsi="宋体" w:eastAsia="宋体" w:cs="宋体"/>
          <w:kern w:val="0"/>
          <w:sz w:val="28"/>
          <w:szCs w:val="28"/>
        </w:rPr>
        <w:t>决算数大于年初预算数的主要原因</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是</w:t>
      </w:r>
      <w:r>
        <w:rPr>
          <w:rFonts w:hint="eastAsia" w:ascii="宋体" w:hAnsi="宋体" w:eastAsia="宋体" w:cs="宋体"/>
          <w:kern w:val="0"/>
          <w:sz w:val="28"/>
          <w:szCs w:val="28"/>
          <w:lang w:eastAsia="zh-CN"/>
        </w:rPr>
        <w:t>疫情防控租车及宣传</w:t>
      </w:r>
      <w:r>
        <w:rPr>
          <w:rFonts w:hint="eastAsia" w:ascii="宋体" w:hAnsi="宋体" w:eastAsia="宋体" w:cs="宋体"/>
          <w:sz w:val="28"/>
          <w:szCs w:val="28"/>
          <w:lang w:val="en-US" w:eastAsia="zh-CN"/>
        </w:rPr>
        <w:t>工作经费的增加。</w:t>
      </w:r>
    </w:p>
    <w:p>
      <w:pPr>
        <w:pStyle w:val="11"/>
        <w:numPr>
          <w:ilvl w:val="0"/>
          <w:numId w:val="2"/>
        </w:numPr>
        <w:ind w:left="0" w:leftChars="0" w:firstLine="0" w:firstLineChars="0"/>
        <w:rPr>
          <w:rFonts w:hint="eastAsia" w:asciiTheme="minorEastAsia" w:hAnsiTheme="minorEastAsia" w:eastAsiaTheme="minorEastAsia"/>
          <w:sz w:val="32"/>
          <w:szCs w:val="32"/>
          <w:lang w:val="en-US" w:eastAsia="zh-CN"/>
        </w:rPr>
      </w:pPr>
      <w:r>
        <w:rPr>
          <w:rFonts w:hint="eastAsia" w:ascii="宋体" w:hAnsi="宋体" w:eastAsia="宋体" w:cs="宋体"/>
          <w:sz w:val="28"/>
          <w:szCs w:val="28"/>
          <w:highlight w:val="none"/>
          <w:lang w:val="en-US" w:eastAsia="zh-CN"/>
        </w:rPr>
        <w:t>节能环保支出</w:t>
      </w:r>
      <w:r>
        <w:rPr>
          <w:rFonts w:hint="eastAsia" w:asciiTheme="minorEastAsia" w:hAnsiTheme="minorEastAsia" w:eastAsiaTheme="minorEastAsia"/>
          <w:sz w:val="32"/>
          <w:szCs w:val="32"/>
          <w:lang w:val="en-US" w:eastAsia="zh-CN"/>
        </w:rPr>
        <w:t>211（类）04（款）02（项）</w:t>
      </w:r>
    </w:p>
    <w:p>
      <w:pPr>
        <w:pStyle w:val="11"/>
        <w:numPr>
          <w:ilvl w:val="0"/>
          <w:numId w:val="0"/>
        </w:num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年初预算未安排，决算数为20.25万元，决算数大于年初预算数的主要原因是：环境卫生整治工作投入量大，产生的宣传费及租车费开支。</w:t>
      </w:r>
    </w:p>
    <w:p>
      <w:pPr>
        <w:pStyle w:val="11"/>
        <w:numPr>
          <w:ilvl w:val="0"/>
          <w:numId w:val="2"/>
        </w:numPr>
        <w:ind w:left="0" w:leftChars="0" w:firstLine="0" w:firstLineChars="0"/>
        <w:rPr>
          <w:rFonts w:hint="eastAsia" w:asciiTheme="minorEastAsia" w:hAnsiTheme="minorEastAsia" w:eastAsiaTheme="minorEastAsia"/>
          <w:sz w:val="32"/>
          <w:szCs w:val="32"/>
          <w:lang w:eastAsia="zh-CN"/>
        </w:rPr>
      </w:pPr>
      <w:r>
        <w:rPr>
          <w:rFonts w:hint="eastAsia" w:ascii="宋体" w:hAnsi="宋体" w:eastAsia="宋体" w:cs="宋体"/>
          <w:sz w:val="28"/>
          <w:szCs w:val="28"/>
          <w:lang w:val="en-US" w:eastAsia="zh-CN"/>
        </w:rPr>
        <w:t>城乡社区支出</w:t>
      </w:r>
      <w:r>
        <w:rPr>
          <w:rFonts w:hint="eastAsia" w:asciiTheme="minorEastAsia" w:hAnsiTheme="minorEastAsia" w:eastAsiaTheme="minorEastAsia"/>
          <w:sz w:val="32"/>
          <w:szCs w:val="32"/>
          <w:lang w:val="en-US" w:eastAsia="zh-CN"/>
        </w:rPr>
        <w:t>212</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eastAsia="zh-CN"/>
        </w:rPr>
        <w:t>。</w:t>
      </w:r>
    </w:p>
    <w:p>
      <w:pPr>
        <w:pStyle w:val="11"/>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年初预算未安排，决算数为15万元，</w:t>
      </w:r>
      <w:r>
        <w:rPr>
          <w:rFonts w:hint="eastAsia" w:ascii="宋体" w:hAnsi="宋体" w:eastAsia="宋体" w:cs="宋体"/>
          <w:sz w:val="28"/>
          <w:szCs w:val="28"/>
          <w:highlight w:val="none"/>
          <w:lang w:val="en-US" w:eastAsia="zh-CN"/>
        </w:rPr>
        <w:t>决算数大于年初预算数的主要原因是：</w:t>
      </w:r>
      <w:r>
        <w:rPr>
          <w:rFonts w:hint="eastAsia" w:ascii="宋体" w:hAnsi="宋体" w:eastAsia="宋体" w:cs="宋体"/>
          <w:kern w:val="0"/>
          <w:sz w:val="28"/>
          <w:szCs w:val="28"/>
          <w:lang w:val="en-US" w:eastAsia="zh-CN"/>
        </w:rPr>
        <w:t>党委政府对</w:t>
      </w:r>
      <w:r>
        <w:rPr>
          <w:rFonts w:hint="eastAsia" w:ascii="宋体" w:hAnsi="宋体" w:eastAsia="宋体" w:cs="宋体"/>
          <w:sz w:val="28"/>
          <w:szCs w:val="28"/>
          <w:lang w:val="en-US" w:eastAsia="zh-CN"/>
        </w:rPr>
        <w:t>城乡社区</w:t>
      </w:r>
      <w:r>
        <w:rPr>
          <w:rFonts w:hint="eastAsia" w:ascii="宋体" w:hAnsi="宋体" w:eastAsia="宋体" w:cs="宋体"/>
          <w:kern w:val="0"/>
          <w:sz w:val="28"/>
          <w:szCs w:val="28"/>
          <w:lang w:val="en-US" w:eastAsia="zh-CN"/>
        </w:rPr>
        <w:t>等</w:t>
      </w:r>
      <w:r>
        <w:rPr>
          <w:rFonts w:hint="eastAsia" w:ascii="宋体" w:hAnsi="宋体" w:eastAsia="宋体" w:cs="宋体"/>
          <w:sz w:val="28"/>
          <w:szCs w:val="28"/>
          <w:lang w:val="en-US" w:eastAsia="zh-CN"/>
        </w:rPr>
        <w:t>工作重视度加大，工作经费因此增加。</w:t>
      </w:r>
    </w:p>
    <w:p>
      <w:pPr>
        <w:pStyle w:val="11"/>
        <w:numPr>
          <w:ilvl w:val="0"/>
          <w:numId w:val="2"/>
        </w:numPr>
        <w:ind w:left="0" w:leftChars="0" w:firstLine="0" w:firstLineChars="0"/>
        <w:rPr>
          <w:rFonts w:hint="eastAsia" w:asciiTheme="minorEastAsia" w:hAnsiTheme="minorEastAsia" w:eastAsiaTheme="minorEastAsia"/>
          <w:sz w:val="32"/>
          <w:szCs w:val="32"/>
          <w:lang w:val="en-US" w:eastAsia="zh-CN"/>
        </w:rPr>
      </w:pPr>
      <w:r>
        <w:rPr>
          <w:rFonts w:hint="eastAsia" w:ascii="宋体" w:hAnsi="宋体" w:eastAsia="宋体" w:cs="宋体"/>
          <w:sz w:val="28"/>
          <w:szCs w:val="28"/>
        </w:rPr>
        <w:t>农林水支出</w:t>
      </w:r>
      <w:r>
        <w:rPr>
          <w:rFonts w:hint="eastAsia" w:asciiTheme="minorEastAsia" w:hAnsiTheme="minorEastAsia" w:eastAsiaTheme="minorEastAsia"/>
          <w:sz w:val="32"/>
          <w:szCs w:val="32"/>
          <w:lang w:val="en-US" w:eastAsia="zh-CN"/>
        </w:rPr>
        <w:t>213</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r>
        <w:rPr>
          <w:rFonts w:hint="eastAsia" w:asciiTheme="minorEastAsia" w:hAnsiTheme="minorEastAsia" w:eastAsiaTheme="minorEastAsia"/>
          <w:sz w:val="32"/>
          <w:szCs w:val="32"/>
          <w:lang w:val="en-US" w:eastAsia="zh-CN"/>
        </w:rPr>
        <w:t>.</w:t>
      </w:r>
    </w:p>
    <w:p>
      <w:pPr>
        <w:pStyle w:val="11"/>
        <w:numPr>
          <w:ilvl w:val="0"/>
          <w:numId w:val="0"/>
        </w:numPr>
        <w:rPr>
          <w:rFonts w:hint="eastAsia" w:asciiTheme="minorEastAsia" w:hAnsiTheme="minorEastAsia" w:eastAsiaTheme="minorEastAsia"/>
          <w:sz w:val="32"/>
          <w:szCs w:val="32"/>
          <w:lang w:val="en-US" w:eastAsia="zh-CN"/>
        </w:rPr>
      </w:pPr>
      <w:r>
        <w:rPr>
          <w:rFonts w:hint="eastAsia" w:ascii="宋体" w:hAnsi="宋体" w:eastAsia="宋体" w:cs="宋体"/>
          <w:sz w:val="28"/>
          <w:szCs w:val="28"/>
          <w:lang w:val="en-US" w:eastAsia="zh-CN"/>
        </w:rPr>
        <w:t>年初预算未安排，决算数为11万元，</w:t>
      </w:r>
      <w:r>
        <w:rPr>
          <w:rFonts w:hint="eastAsia" w:ascii="宋体" w:hAnsi="宋体" w:eastAsia="宋体" w:cs="宋体"/>
          <w:sz w:val="28"/>
          <w:szCs w:val="28"/>
          <w:highlight w:val="none"/>
          <w:lang w:val="en-US" w:eastAsia="zh-CN"/>
        </w:rPr>
        <w:t>决算数大于年初预算数的主要原因是：</w:t>
      </w:r>
      <w:r>
        <w:rPr>
          <w:rFonts w:hint="eastAsia" w:asciiTheme="minorEastAsia" w:hAnsiTheme="minorEastAsia" w:eastAsiaTheme="minorEastAsia"/>
          <w:sz w:val="32"/>
          <w:szCs w:val="32"/>
          <w:lang w:val="en-US" w:eastAsia="zh-CN"/>
        </w:rPr>
        <w:t>其他农业支出追加支出</w:t>
      </w:r>
    </w:p>
    <w:p>
      <w:pPr>
        <w:pStyle w:val="11"/>
        <w:numPr>
          <w:ilvl w:val="0"/>
          <w:numId w:val="2"/>
        </w:numPr>
        <w:ind w:left="0" w:leftChars="0" w:firstLine="0" w:firstLineChars="0"/>
        <w:rPr>
          <w:rFonts w:hint="eastAsia" w:asciiTheme="minorEastAsia" w:hAnsiTheme="minorEastAsia" w:eastAsiaTheme="minorEastAsia"/>
          <w:sz w:val="32"/>
          <w:szCs w:val="32"/>
        </w:rPr>
      </w:pPr>
      <w:r>
        <w:rPr>
          <w:rFonts w:hint="eastAsia" w:ascii="宋体" w:hAnsi="宋体" w:eastAsia="宋体" w:cs="宋体"/>
          <w:sz w:val="28"/>
          <w:szCs w:val="28"/>
        </w:rPr>
        <w:t>农林水支出</w:t>
      </w:r>
      <w:r>
        <w:rPr>
          <w:rFonts w:hint="eastAsia" w:asciiTheme="minorEastAsia" w:hAnsiTheme="minorEastAsia" w:eastAsiaTheme="minorEastAsia"/>
          <w:sz w:val="32"/>
          <w:szCs w:val="32"/>
          <w:lang w:val="en-US" w:eastAsia="zh-CN"/>
        </w:rPr>
        <w:t>213</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1"/>
        <w:numPr>
          <w:ilvl w:val="0"/>
          <w:numId w:val="0"/>
        </w:numPr>
        <w:rPr>
          <w:rFonts w:hint="eastAsia" w:asciiTheme="minorEastAsia" w:hAnsiTheme="minorEastAsia" w:eastAsiaTheme="minorEastAsia"/>
          <w:sz w:val="32"/>
          <w:szCs w:val="32"/>
          <w:lang w:val="en-US" w:eastAsia="zh-CN"/>
        </w:rPr>
      </w:pPr>
      <w:r>
        <w:rPr>
          <w:rFonts w:hint="eastAsia" w:ascii="宋体" w:hAnsi="宋体" w:eastAsia="宋体" w:cs="宋体"/>
          <w:sz w:val="28"/>
          <w:szCs w:val="28"/>
          <w:lang w:val="en-US" w:eastAsia="zh-CN"/>
        </w:rPr>
        <w:t>年初预算未安排，决算数为24.67万元，</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val="en-US" w:eastAsia="zh-CN"/>
        </w:rPr>
        <w:t>为其他扶贫追加支出。</w:t>
      </w:r>
    </w:p>
    <w:p>
      <w:pPr>
        <w:pStyle w:val="11"/>
        <w:numPr>
          <w:ilvl w:val="0"/>
          <w:numId w:val="2"/>
        </w:numPr>
        <w:ind w:left="0" w:leftChars="0" w:firstLine="0" w:firstLineChars="0"/>
        <w:rPr>
          <w:rFonts w:hint="eastAsia" w:asciiTheme="minorEastAsia" w:hAnsiTheme="minorEastAsia" w:eastAsiaTheme="minorEastAsia"/>
          <w:sz w:val="32"/>
          <w:szCs w:val="32"/>
        </w:rPr>
      </w:pPr>
      <w:r>
        <w:rPr>
          <w:rFonts w:hint="eastAsia" w:ascii="宋体" w:hAnsi="宋体" w:eastAsia="宋体" w:cs="宋体"/>
          <w:sz w:val="28"/>
          <w:szCs w:val="28"/>
        </w:rPr>
        <w:t>农林水支出</w:t>
      </w:r>
      <w:r>
        <w:rPr>
          <w:rFonts w:hint="eastAsia" w:asciiTheme="minorEastAsia" w:hAnsiTheme="minorEastAsia" w:eastAsiaTheme="minorEastAsia"/>
          <w:sz w:val="32"/>
          <w:szCs w:val="32"/>
          <w:lang w:val="en-US" w:eastAsia="zh-CN"/>
        </w:rPr>
        <w:t>213</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（项）</w:t>
      </w:r>
    </w:p>
    <w:p>
      <w:pPr>
        <w:pStyle w:val="11"/>
        <w:numPr>
          <w:ilvl w:val="0"/>
          <w:numId w:val="0"/>
        </w:numPr>
        <w:rPr>
          <w:rFonts w:hint="eastAsia" w:asciiTheme="minorEastAsia" w:hAnsiTheme="minorEastAsia" w:eastAsiaTheme="minorEastAsia"/>
          <w:sz w:val="32"/>
          <w:szCs w:val="32"/>
          <w:lang w:val="en-US" w:eastAsia="zh-CN"/>
        </w:rPr>
      </w:pPr>
      <w:r>
        <w:rPr>
          <w:rFonts w:hint="eastAsia" w:ascii="宋体" w:hAnsi="宋体" w:eastAsia="宋体" w:cs="宋体"/>
          <w:sz w:val="28"/>
          <w:szCs w:val="28"/>
          <w:lang w:val="en-US" w:eastAsia="zh-CN"/>
        </w:rPr>
        <w:t>年初预算未安排，决算数为6.5万</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val="en-US" w:eastAsia="zh-CN"/>
        </w:rPr>
        <w:t>为对村民委员会和村党支部的补助追加支出。</w:t>
      </w:r>
    </w:p>
    <w:p>
      <w:pPr>
        <w:pStyle w:val="11"/>
        <w:numPr>
          <w:ilvl w:val="0"/>
          <w:numId w:val="0"/>
        </w:numPr>
        <w:ind w:leftChars="0"/>
        <w:rPr>
          <w:rFonts w:hint="eastAsia" w:asciiTheme="minorEastAsia" w:hAnsiTheme="minorEastAsia" w:eastAsiaTheme="minorEastAsia"/>
          <w:sz w:val="32"/>
          <w:szCs w:val="32"/>
        </w:rPr>
      </w:pPr>
      <w:r>
        <w:rPr>
          <w:rFonts w:hint="eastAsia" w:ascii="宋体" w:hAnsi="宋体" w:eastAsia="宋体" w:cs="宋体"/>
          <w:sz w:val="28"/>
          <w:szCs w:val="28"/>
          <w:lang w:val="en-US" w:eastAsia="zh-CN"/>
        </w:rPr>
        <w:t>10、农</w:t>
      </w:r>
      <w:r>
        <w:rPr>
          <w:rFonts w:hint="eastAsia" w:ascii="宋体" w:hAnsi="宋体" w:eastAsia="宋体" w:cs="宋体"/>
          <w:sz w:val="28"/>
          <w:szCs w:val="28"/>
        </w:rPr>
        <w:t>林水支出</w:t>
      </w:r>
      <w:r>
        <w:rPr>
          <w:rFonts w:hint="eastAsia" w:asciiTheme="minorEastAsia" w:hAnsiTheme="minorEastAsia" w:eastAsiaTheme="minorEastAsia"/>
          <w:sz w:val="32"/>
          <w:szCs w:val="32"/>
          <w:lang w:val="en-US" w:eastAsia="zh-CN"/>
        </w:rPr>
        <w:t>213</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07</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1"/>
        <w:numPr>
          <w:ilvl w:val="0"/>
          <w:numId w:val="0"/>
        </w:numPr>
        <w:ind w:firstLine="560" w:firstLineChars="200"/>
        <w:rPr>
          <w:rFonts w:hint="eastAsia" w:asciiTheme="minorEastAsia" w:hAnsiTheme="minorEastAsia" w:eastAsiaTheme="minorEastAsia"/>
          <w:sz w:val="32"/>
          <w:szCs w:val="32"/>
          <w:lang w:val="en-US" w:eastAsia="zh-CN"/>
        </w:rPr>
      </w:pPr>
      <w:r>
        <w:rPr>
          <w:rFonts w:hint="eastAsia" w:ascii="宋体" w:hAnsi="宋体" w:eastAsia="宋体" w:cs="宋体"/>
          <w:sz w:val="28"/>
          <w:szCs w:val="28"/>
          <w:lang w:val="en-US" w:eastAsia="zh-CN"/>
        </w:rPr>
        <w:t>年初预算未安排，决算数为20.34万元，</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val="en-US" w:eastAsia="zh-CN"/>
        </w:rPr>
        <w:t>为其他农村综合改革追加支出。</w:t>
      </w:r>
    </w:p>
    <w:p>
      <w:pPr>
        <w:pStyle w:val="11"/>
        <w:numPr>
          <w:ilvl w:val="0"/>
          <w:numId w:val="0"/>
        </w:numPr>
        <w:ind w:leftChars="0"/>
        <w:rPr>
          <w:rFonts w:hint="eastAsia" w:asciiTheme="minorEastAsia" w:hAnsiTheme="minorEastAsia" w:eastAsiaTheme="minorEastAsia"/>
          <w:sz w:val="32"/>
          <w:szCs w:val="32"/>
        </w:rPr>
      </w:pPr>
    </w:p>
    <w:p>
      <w:pPr>
        <w:pStyle w:val="11"/>
        <w:numPr>
          <w:ilvl w:val="0"/>
          <w:numId w:val="0"/>
        </w:numPr>
        <w:rPr>
          <w:rFonts w:hint="default" w:asciiTheme="minorEastAsia" w:hAnsiTheme="minorEastAsia" w:eastAsiaTheme="minorEastAsia"/>
          <w:sz w:val="32"/>
          <w:szCs w:val="32"/>
          <w:lang w:val="en-US" w:eastAsia="zh-CN"/>
        </w:rPr>
      </w:pPr>
    </w:p>
    <w:p>
      <w:pPr>
        <w:pStyle w:val="11"/>
        <w:numPr>
          <w:ilvl w:val="0"/>
          <w:numId w:val="0"/>
        </w:numPr>
        <w:ind w:leftChars="0"/>
        <w:rPr>
          <w:rFonts w:hint="default" w:asciiTheme="minorEastAsia" w:hAnsiTheme="minorEastAsia" w:eastAsiaTheme="minorEastAsia"/>
          <w:sz w:val="32"/>
          <w:szCs w:val="32"/>
          <w:lang w:val="en-US" w:eastAsia="zh-CN"/>
        </w:rPr>
      </w:pPr>
    </w:p>
    <w:p>
      <w:pPr>
        <w:pStyle w:val="11"/>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11、自然资源海洋气象等支出220(类)01(款)06（项).</w:t>
      </w:r>
    </w:p>
    <w:p>
      <w:pPr>
        <w:pStyle w:val="11"/>
        <w:rPr>
          <w:rFonts w:hint="eastAsia" w:asciiTheme="minorEastAsia" w:hAnsiTheme="minorEastAsia" w:eastAsiaTheme="minorEastAsia"/>
          <w:sz w:val="32"/>
          <w:szCs w:val="32"/>
          <w:lang w:val="en-US" w:eastAsia="zh-CN"/>
        </w:rPr>
      </w:pPr>
      <w:r>
        <w:rPr>
          <w:rFonts w:hint="eastAsia" w:ascii="宋体" w:hAnsi="宋体" w:eastAsia="宋体" w:cs="宋体"/>
          <w:sz w:val="28"/>
          <w:szCs w:val="28"/>
          <w:lang w:val="en-US" w:eastAsia="zh-CN"/>
        </w:rPr>
        <w:t>年初预算未安排，决算数为66.5万元，</w:t>
      </w:r>
      <w:r>
        <w:rPr>
          <w:rFonts w:hint="eastAsia" w:ascii="宋体" w:hAnsi="宋体" w:eastAsia="宋体" w:cs="宋体"/>
          <w:sz w:val="28"/>
          <w:szCs w:val="28"/>
          <w:highlight w:val="none"/>
          <w:lang w:val="en-US" w:eastAsia="zh-CN"/>
        </w:rPr>
        <w:t>决算数大于年初预算数的主要原因是：</w:t>
      </w:r>
      <w:r>
        <w:rPr>
          <w:rFonts w:hint="eastAsia" w:asciiTheme="minorEastAsia" w:hAnsiTheme="minorEastAsia" w:eastAsiaTheme="minorEastAsia"/>
          <w:sz w:val="32"/>
          <w:szCs w:val="32"/>
          <w:lang w:val="en-US" w:eastAsia="zh-CN"/>
        </w:rPr>
        <w:t>自然资源利用与保护追加支出。</w:t>
      </w:r>
    </w:p>
    <w:p>
      <w:pPr>
        <w:pStyle w:val="11"/>
        <w:numPr>
          <w:ilvl w:val="0"/>
          <w:numId w:val="3"/>
        </w:num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灾害防治及应急管理支出224（类）02（款）09（项）</w:t>
      </w:r>
    </w:p>
    <w:p>
      <w:pPr>
        <w:pStyle w:val="11"/>
        <w:numPr>
          <w:ilvl w:val="0"/>
          <w:numId w:val="0"/>
        </w:numP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年初预算未安排，决算数为22万元，决算数大于年初预算的主要原因是：安全生产重点排查、交通顽瘴痼疾管制、消防安全检查等费用有所追加支出</w:t>
      </w:r>
    </w:p>
    <w:p>
      <w:pPr>
        <w:pStyle w:val="11"/>
        <w:numPr>
          <w:ilvl w:val="0"/>
          <w:numId w:val="3"/>
        </w:numPr>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灾害防治及应急管理支出224（类）07（款）09（项）</w:t>
      </w:r>
    </w:p>
    <w:p>
      <w:pPr>
        <w:pStyle w:val="11"/>
        <w:numPr>
          <w:ilvl w:val="0"/>
          <w:numId w:val="0"/>
        </w:numPr>
        <w:rPr>
          <w:rFonts w:hint="eastAsia" w:asciiTheme="minorEastAsia" w:hAnsiTheme="minorEastAsia" w:eastAsiaTheme="minorEastAsia"/>
          <w:sz w:val="32"/>
          <w:szCs w:val="32"/>
          <w:lang w:val="en-US" w:eastAsia="zh-CN"/>
        </w:rPr>
      </w:pPr>
      <w:r>
        <w:rPr>
          <w:rFonts w:hint="eastAsia" w:ascii="宋体" w:hAnsi="宋体" w:eastAsia="宋体" w:cs="宋体"/>
          <w:sz w:val="28"/>
          <w:szCs w:val="28"/>
          <w:highlight w:val="none"/>
          <w:lang w:val="en-US" w:eastAsia="zh-CN"/>
        </w:rPr>
        <w:t>年初预算未安排，</w:t>
      </w:r>
      <w:r>
        <w:rPr>
          <w:rFonts w:hint="eastAsia" w:asciiTheme="minorEastAsia" w:hAnsiTheme="minorEastAsia" w:eastAsiaTheme="minorEastAsia"/>
          <w:sz w:val="32"/>
          <w:szCs w:val="32"/>
          <w:lang w:val="en-US" w:eastAsia="zh-CN"/>
        </w:rPr>
        <w:t>支出决算为3万元，</w:t>
      </w:r>
      <w:r>
        <w:rPr>
          <w:rFonts w:hint="eastAsia" w:asciiTheme="minorEastAsia" w:hAnsiTheme="minorEastAsia" w:eastAsiaTheme="minorEastAsia"/>
          <w:sz w:val="32"/>
          <w:szCs w:val="32"/>
        </w:rPr>
        <w:t>决算数大于年初预算数的主要原因</w:t>
      </w:r>
      <w:r>
        <w:rPr>
          <w:rFonts w:hint="eastAsia" w:asciiTheme="minorEastAsia" w:hAnsiTheme="minorEastAsia" w:eastAsiaTheme="minorEastAsia"/>
          <w:sz w:val="32"/>
          <w:szCs w:val="32"/>
          <w:lang w:val="en-US" w:eastAsia="zh-CN"/>
        </w:rPr>
        <w:t>为其他自然灾害救灾及恢复重建追加支出。</w:t>
      </w:r>
    </w:p>
    <w:p>
      <w:pPr>
        <w:pStyle w:val="11"/>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14、</w:t>
      </w:r>
      <w:r>
        <w:rPr>
          <w:rFonts w:hint="eastAsia" w:asciiTheme="minorEastAsia" w:hAnsiTheme="minorEastAsia" w:eastAsiaTheme="minorEastAsia"/>
          <w:sz w:val="32"/>
          <w:szCs w:val="32"/>
          <w:lang w:eastAsia="zh-CN"/>
        </w:rPr>
        <w:t>其他支出</w:t>
      </w:r>
      <w:r>
        <w:rPr>
          <w:rFonts w:hint="eastAsia" w:asciiTheme="minorEastAsia" w:hAnsiTheme="minorEastAsia" w:eastAsiaTheme="minorEastAsia"/>
          <w:sz w:val="32"/>
          <w:szCs w:val="32"/>
          <w:lang w:val="en-US" w:eastAsia="zh-CN"/>
        </w:rPr>
        <w:t>229</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（项）</w:t>
      </w:r>
    </w:p>
    <w:p>
      <w:pPr>
        <w:pStyle w:val="11"/>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年初预算未安排，决算数为5万元，决算数大于年初预算的主要原因是：</w:t>
      </w:r>
      <w:r>
        <w:rPr>
          <w:rFonts w:hint="eastAsia" w:ascii="宋体" w:hAnsi="宋体" w:eastAsia="宋体" w:cs="宋体"/>
          <w:kern w:val="0"/>
          <w:sz w:val="28"/>
          <w:szCs w:val="28"/>
          <w:lang w:val="en-US" w:eastAsia="zh-CN"/>
        </w:rPr>
        <w:t>其他各项工作经费的增加。</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1116.5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eastAsia="zh-CN"/>
        </w:rPr>
        <w:t>支出为</w:t>
      </w:r>
      <w:r>
        <w:rPr>
          <w:rFonts w:hint="eastAsia" w:asciiTheme="minorEastAsia" w:hAnsiTheme="minorEastAsia" w:eastAsiaTheme="minorEastAsia"/>
          <w:sz w:val="32"/>
          <w:szCs w:val="32"/>
          <w:lang w:val="en-US" w:eastAsia="zh-CN"/>
        </w:rPr>
        <w:t>573.98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51.4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等；对个人和家庭的补助支出为</w:t>
      </w:r>
      <w:r>
        <w:rPr>
          <w:rFonts w:hint="eastAsia" w:asciiTheme="minorEastAsia" w:hAnsiTheme="minorEastAsia" w:eastAsiaTheme="minorEastAsia"/>
          <w:sz w:val="32"/>
          <w:szCs w:val="32"/>
          <w:lang w:val="en-US" w:eastAsia="zh-CN"/>
        </w:rPr>
        <w:t>140.24万，占基本支出的12.6%</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399.33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办公费</w:t>
      </w:r>
      <w:r>
        <w:rPr>
          <w:rFonts w:hint="eastAsia" w:asciiTheme="minorEastAsia" w:hAnsiTheme="minorEastAsia" w:eastAsiaTheme="minorEastAsia"/>
          <w:sz w:val="32"/>
          <w:szCs w:val="32"/>
          <w:lang w:val="en-US" w:eastAsia="zh-CN"/>
        </w:rPr>
        <w:t>40.89万元，占比</w:t>
      </w:r>
      <w:r>
        <w:rPr>
          <w:rFonts w:hint="eastAsia" w:asciiTheme="minorEastAsia" w:hAnsiTheme="minorEastAsia" w:eastAsiaTheme="minorEastAsia"/>
          <w:sz w:val="32"/>
          <w:szCs w:val="32"/>
          <w:highlight w:val="none"/>
          <w:lang w:val="en-US" w:eastAsia="zh-CN"/>
        </w:rPr>
        <w:t>3.7%</w:t>
      </w:r>
      <w:r>
        <w:rPr>
          <w:rFonts w:hint="eastAsia" w:asciiTheme="minorEastAsia" w:hAnsiTheme="minorEastAsia" w:eastAsiaTheme="minorEastAsia"/>
          <w:sz w:val="32"/>
          <w:szCs w:val="32"/>
          <w:highlight w:val="none"/>
        </w:rPr>
        <w:t>、印刷费</w:t>
      </w:r>
      <w:r>
        <w:rPr>
          <w:rFonts w:hint="eastAsia" w:asciiTheme="minorEastAsia" w:hAnsiTheme="minorEastAsia" w:eastAsiaTheme="minorEastAsia"/>
          <w:sz w:val="32"/>
          <w:szCs w:val="32"/>
          <w:highlight w:val="none"/>
          <w:lang w:val="en-US" w:eastAsia="zh-CN"/>
        </w:rPr>
        <w:t>36万元，占比3.2%</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水电费</w:t>
      </w:r>
      <w:r>
        <w:rPr>
          <w:rFonts w:hint="eastAsia" w:asciiTheme="minorEastAsia" w:hAnsiTheme="minorEastAsia" w:eastAsiaTheme="minorEastAsia"/>
          <w:sz w:val="32"/>
          <w:szCs w:val="32"/>
          <w:highlight w:val="none"/>
          <w:lang w:val="en-US" w:eastAsia="zh-CN"/>
        </w:rPr>
        <w:t>13.9万元，占比1.2%</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咨询</w:t>
      </w:r>
      <w:r>
        <w:rPr>
          <w:rFonts w:hint="eastAsia" w:asciiTheme="minorEastAsia" w:hAnsiTheme="minorEastAsia" w:eastAsiaTheme="minorEastAsia"/>
          <w:sz w:val="32"/>
          <w:szCs w:val="32"/>
          <w:highlight w:val="none"/>
        </w:rPr>
        <w:t>费</w:t>
      </w:r>
      <w:r>
        <w:rPr>
          <w:rFonts w:hint="eastAsia" w:asciiTheme="minorEastAsia" w:hAnsiTheme="minorEastAsia" w:eastAsiaTheme="minorEastAsia"/>
          <w:sz w:val="32"/>
          <w:szCs w:val="32"/>
          <w:highlight w:val="none"/>
          <w:lang w:val="en-US" w:eastAsia="zh-CN"/>
        </w:rPr>
        <w:t>8万元，占比0.7%、差旅费15.38万元，占比1.4%、维修费18万元，占比1.6%、</w:t>
      </w:r>
    </w:p>
    <w:p>
      <w:pPr>
        <w:pStyle w:val="11"/>
        <w:jc w:val="both"/>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lang w:val="en-US" w:eastAsia="zh-CN"/>
        </w:rPr>
        <w:t>会议费5万元，占比0.4%、培训费5万元，占比0.4%、公务接待费1.55万元，占比0.01%、专用材料费3万元，占比0.3%、劳务费133.87万元，占比12.9%、工会经费29.14万元，占比2.6%、委托业务费51.59万元，占比4.6%、福利费10万元，占比0.9%、公务用车运行修护费3万元，占比0.3%、其他交通费23万元，占比2%、其他商品和服务支出2万元，占比0.2%。</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65</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严格控制接待标准</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1.25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节约</w:t>
      </w:r>
      <w:r>
        <w:rPr>
          <w:rFonts w:hint="eastAsia" w:asciiTheme="minorEastAsia" w:hAnsiTheme="minorEastAsia" w:eastAsiaTheme="minorEastAsia"/>
          <w:sz w:val="32"/>
          <w:szCs w:val="32"/>
          <w:lang w:val="en-US" w:eastAsia="zh-CN"/>
        </w:rPr>
        <w:t>44.6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节约</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严格控制接待标准，减少在店子开餐次数</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油费上升较多</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0.58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rPr>
        <w:t>的主要原因</w:t>
      </w:r>
      <w:r>
        <w:rPr>
          <w:rFonts w:hint="eastAsia" w:asciiTheme="minorEastAsia" w:hAnsiTheme="minorEastAsia" w:eastAsiaTheme="minorEastAsia"/>
          <w:sz w:val="32"/>
          <w:szCs w:val="32"/>
          <w:lang w:eastAsia="zh-CN"/>
        </w:rPr>
        <w:t>是维修费稍减少。</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1.55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66</w:t>
      </w:r>
      <w:r>
        <w:rPr>
          <w:rFonts w:hint="eastAsia" w:asciiTheme="minorEastAsia" w:hAnsiTheme="minorEastAsia" w:eastAsiaTheme="minorEastAsia"/>
          <w:sz w:val="32"/>
          <w:szCs w:val="32"/>
        </w:rPr>
        <w:t>%。其中：</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1.55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110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352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县有关部门来镇检查工作等</w:t>
      </w:r>
      <w:r>
        <w:rPr>
          <w:rFonts w:hint="eastAsia" w:asciiTheme="minorEastAsia" w:hAnsiTheme="minorEastAsia" w:eastAsiaTheme="minorEastAsia"/>
          <w:sz w:val="32"/>
          <w:szCs w:val="32"/>
        </w:rPr>
        <w:t>发生的接待支出。</w:t>
      </w:r>
    </w:p>
    <w:p>
      <w:pPr>
        <w:ind w:firstLine="800" w:firstLineChars="250"/>
        <w:rPr>
          <w:rFonts w:hint="default" w:ascii="Times New Roman" w:hAnsi="Times New Roman" w:eastAsia="仿宋_GB2312"/>
          <w:bCs/>
          <w:kern w:val="0"/>
          <w:sz w:val="28"/>
          <w:szCs w:val="28"/>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w:t>
      </w:r>
      <w:r>
        <w:rPr>
          <w:rFonts w:hint="eastAsia" w:asciiTheme="minorEastAsia" w:hAnsiTheme="minorEastAsia"/>
          <w:sz w:val="32"/>
          <w:szCs w:val="32"/>
        </w:rPr>
        <w:t>万元，主要是</w:t>
      </w:r>
      <w:r>
        <w:rPr>
          <w:rFonts w:hint="eastAsia" w:asciiTheme="minorEastAsia" w:hAnsiTheme="minorEastAsia"/>
          <w:sz w:val="32"/>
          <w:szCs w:val="32"/>
          <w:lang w:eastAsia="zh-CN"/>
        </w:rPr>
        <w:t>小车油费和修理费</w:t>
      </w:r>
      <w:r>
        <w:rPr>
          <w:rFonts w:hint="eastAsia" w:asciiTheme="minorEastAsia" w:hAnsiTheme="minorEastAsia"/>
          <w:sz w:val="32"/>
          <w:szCs w:val="32"/>
        </w:rPr>
        <w:t>支出，截止</w:t>
      </w:r>
      <w:r>
        <w:rPr>
          <w:rFonts w:hint="eastAsia" w:asciiTheme="minorEastAsia" w:hAnsiTheme="minorEastAsia"/>
          <w:sz w:val="32"/>
          <w:szCs w:val="32"/>
          <w:lang w:eastAsia="zh-CN"/>
        </w:rPr>
        <w:t>2021</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int="eastAsia" w:hAnsi="黑体"/>
          <w:b/>
          <w:sz w:val="32"/>
          <w:szCs w:val="32"/>
        </w:rPr>
      </w:pP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用于体育事业彩票公益金支出</w:t>
      </w:r>
      <w:r>
        <w:rPr>
          <w:rFonts w:hint="eastAsia" w:asciiTheme="minorEastAsia" w:hAnsiTheme="minorEastAsia" w:eastAsiaTheme="minorEastAsia"/>
          <w:sz w:val="32"/>
          <w:szCs w:val="32"/>
          <w:lang w:val="en-US" w:eastAsia="zh-CN"/>
        </w:rPr>
        <w:t>229</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（项）。</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用于体育事业彩票公益金支出追加了支出。</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宋体" w:hAnsi="宋体" w:eastAsia="宋体" w:cs="宋体"/>
          <w:b w:val="0"/>
          <w:bCs w:val="0"/>
          <w:color w:val="000000"/>
          <w:kern w:val="0"/>
          <w:sz w:val="32"/>
          <w:szCs w:val="32"/>
        </w:rPr>
        <w:t>本部门</w:t>
      </w:r>
      <w:r>
        <w:rPr>
          <w:rFonts w:hint="eastAsia" w:ascii="宋体" w:hAnsi="宋体" w:eastAsia="宋体" w:cs="宋体"/>
          <w:b w:val="0"/>
          <w:bCs w:val="0"/>
          <w:color w:val="000000"/>
          <w:kern w:val="0"/>
          <w:sz w:val="32"/>
          <w:szCs w:val="32"/>
          <w:lang w:eastAsia="zh-CN"/>
        </w:rPr>
        <w:t>2021</w:t>
      </w:r>
      <w:r>
        <w:rPr>
          <w:rFonts w:hint="eastAsia" w:ascii="宋体" w:hAnsi="宋体" w:eastAsia="宋体" w:cs="宋体"/>
          <w:b w:val="0"/>
          <w:bCs w:val="0"/>
          <w:color w:val="000000"/>
          <w:kern w:val="0"/>
          <w:sz w:val="32"/>
          <w:szCs w:val="32"/>
        </w:rPr>
        <w:t xml:space="preserve"> 年度机关运行经费支出</w:t>
      </w:r>
      <w:r>
        <w:rPr>
          <w:rFonts w:hint="eastAsia" w:ascii="宋体" w:hAnsi="宋体" w:eastAsia="宋体" w:cs="宋体"/>
          <w:b w:val="0"/>
          <w:bCs w:val="0"/>
          <w:color w:val="000000"/>
          <w:kern w:val="0"/>
          <w:sz w:val="32"/>
          <w:szCs w:val="32"/>
          <w:lang w:val="en-US" w:eastAsia="zh-CN"/>
        </w:rPr>
        <w:t>399.3</w:t>
      </w:r>
      <w:r>
        <w:rPr>
          <w:rFonts w:hint="eastAsia" w:ascii="宋体" w:hAnsi="宋体" w:eastAsia="宋体" w:cs="宋体"/>
          <w:b w:val="0"/>
          <w:bCs w:val="0"/>
          <w:color w:val="000000"/>
          <w:kern w:val="0"/>
          <w:sz w:val="32"/>
          <w:szCs w:val="32"/>
        </w:rPr>
        <w:t>万元，比年初预算数增加</w:t>
      </w:r>
      <w:r>
        <w:rPr>
          <w:rFonts w:hint="eastAsia" w:ascii="宋体" w:hAnsi="宋体" w:eastAsia="宋体" w:cs="宋体"/>
          <w:b w:val="0"/>
          <w:bCs w:val="0"/>
          <w:color w:val="000000"/>
          <w:kern w:val="0"/>
          <w:sz w:val="32"/>
          <w:szCs w:val="32"/>
          <w:lang w:val="en-US" w:eastAsia="zh-CN"/>
        </w:rPr>
        <w:t>297</w:t>
      </w:r>
      <w:r>
        <w:rPr>
          <w:rFonts w:hint="eastAsia" w:ascii="宋体" w:hAnsi="宋体" w:eastAsia="宋体" w:cs="宋体"/>
          <w:b w:val="0"/>
          <w:bCs w:val="0"/>
          <w:color w:val="000000"/>
          <w:kern w:val="0"/>
          <w:sz w:val="32"/>
          <w:szCs w:val="32"/>
        </w:rPr>
        <w:t>万元。主要原因是：</w:t>
      </w:r>
      <w:r>
        <w:rPr>
          <w:rFonts w:hint="eastAsia" w:ascii="宋体" w:hAnsi="宋体" w:eastAsia="宋体" w:cs="宋体"/>
          <w:b w:val="0"/>
          <w:bCs w:val="0"/>
          <w:kern w:val="0"/>
          <w:sz w:val="32"/>
          <w:szCs w:val="32"/>
          <w:lang w:val="en-US" w:eastAsia="zh-CN"/>
        </w:rPr>
        <w:t>村级运行经费、党建和环境卫生整治、非税收入征收成本支出以及一些专项支出列入运行经费支出，但年初没有纳入预算</w:t>
      </w:r>
    </w:p>
    <w:p>
      <w:pPr>
        <w:pStyle w:val="11"/>
        <w:numPr>
          <w:ilvl w:val="0"/>
          <w:numId w:val="4"/>
        </w:numPr>
        <w:rPr>
          <w:rFonts w:hint="eastAsia" w:hAnsi="黑体"/>
          <w:b/>
          <w:sz w:val="32"/>
          <w:szCs w:val="32"/>
        </w:rPr>
      </w:pPr>
      <w:r>
        <w:rPr>
          <w:rFonts w:hint="eastAsia" w:hAnsi="黑体"/>
          <w:b/>
          <w:sz w:val="32"/>
          <w:szCs w:val="32"/>
        </w:rPr>
        <w:t>一般性支出情况说明</w:t>
      </w:r>
    </w:p>
    <w:p>
      <w:pPr>
        <w:pStyle w:val="11"/>
        <w:numPr>
          <w:ilvl w:val="0"/>
          <w:numId w:val="0"/>
        </w:numPr>
        <w:ind w:firstLine="640" w:firstLineChars="200"/>
        <w:rPr>
          <w:rFonts w:hint="eastAsia" w:asciiTheme="minorEastAsia" w:hAnsiTheme="minorEastAsia" w:eastAsiaTheme="minorEastAsia" w:cstheme="minorEastAsia"/>
          <w:color w:val="000000"/>
          <w:kern w:val="0"/>
          <w:sz w:val="32"/>
          <w:szCs w:val="32"/>
          <w:lang w:eastAsia="zh-CN"/>
        </w:rPr>
      </w:pPr>
      <w:r>
        <w:rPr>
          <w:rFonts w:hint="eastAsia" w:asciiTheme="minorEastAsia" w:hAnsiTheme="minorEastAsia" w:eastAsiaTheme="minorEastAsia" w:cstheme="minorEastAsia"/>
          <w:color w:val="000000"/>
          <w:kern w:val="0"/>
          <w:sz w:val="32"/>
          <w:szCs w:val="32"/>
          <w:lang w:eastAsia="zh-CN"/>
        </w:rPr>
        <w:t>2021</w:t>
      </w:r>
      <w:r>
        <w:rPr>
          <w:rFonts w:hint="eastAsia" w:asciiTheme="minorEastAsia" w:hAnsiTheme="minorEastAsia" w:eastAsiaTheme="minorEastAsia" w:cstheme="minorEastAsia"/>
          <w:color w:val="000000"/>
          <w:kern w:val="0"/>
          <w:sz w:val="32"/>
          <w:szCs w:val="32"/>
        </w:rPr>
        <w:t>年本部门开支会议费</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万元，用于召开</w:t>
      </w:r>
      <w:r>
        <w:rPr>
          <w:rFonts w:hint="eastAsia" w:asciiTheme="minorEastAsia" w:hAnsiTheme="minorEastAsia" w:eastAsiaTheme="minorEastAsia" w:cstheme="minorEastAsia"/>
          <w:sz w:val="32"/>
          <w:szCs w:val="32"/>
          <w:lang w:val="en-US" w:eastAsia="zh-CN"/>
        </w:rPr>
        <w:t>人大会议、党代会议、经济工作会议、</w:t>
      </w:r>
      <w:r>
        <w:rPr>
          <w:rFonts w:hint="eastAsia" w:asciiTheme="minorEastAsia" w:hAnsiTheme="minorEastAsia" w:eastAsiaTheme="minorEastAsia" w:cstheme="minorEastAsia"/>
          <w:sz w:val="32"/>
          <w:szCs w:val="32"/>
        </w:rPr>
        <w:t>防汛抗旱会议</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疫情防控会</w:t>
      </w:r>
      <w:r>
        <w:rPr>
          <w:rFonts w:hint="eastAsia" w:asciiTheme="minorEastAsia" w:hAnsiTheme="minorEastAsia" w:eastAsiaTheme="minorEastAsia" w:cstheme="minorEastAsia"/>
          <w:sz w:val="32"/>
          <w:szCs w:val="32"/>
          <w:lang w:eastAsia="zh-CN"/>
        </w:rPr>
        <w:t>议、</w:t>
      </w:r>
      <w:r>
        <w:rPr>
          <w:rFonts w:hint="eastAsia" w:asciiTheme="minorEastAsia" w:hAnsiTheme="minorEastAsia" w:eastAsiaTheme="minorEastAsia" w:cstheme="minorEastAsia"/>
          <w:sz w:val="32"/>
          <w:szCs w:val="32"/>
        </w:rPr>
        <w:t>每月的主题党日会议</w:t>
      </w:r>
      <w:r>
        <w:rPr>
          <w:rFonts w:hint="eastAsia" w:asciiTheme="minorEastAsia" w:hAnsiTheme="minorEastAsia" w:eastAsiaTheme="minorEastAsia" w:cstheme="minorEastAsia"/>
          <w:color w:val="000000"/>
          <w:kern w:val="0"/>
          <w:sz w:val="32"/>
          <w:szCs w:val="32"/>
          <w:lang w:eastAsia="zh-CN"/>
        </w:rPr>
        <w:t>等</w:t>
      </w:r>
      <w:r>
        <w:rPr>
          <w:rFonts w:hint="eastAsia" w:asciiTheme="minorEastAsia" w:hAnsiTheme="minorEastAsia" w:eastAsiaTheme="minorEastAsia" w:cstheme="minorEastAsia"/>
          <w:color w:val="000000"/>
          <w:kern w:val="0"/>
          <w:sz w:val="32"/>
          <w:szCs w:val="32"/>
        </w:rPr>
        <w:t>，人数</w:t>
      </w:r>
      <w:r>
        <w:rPr>
          <w:rFonts w:hint="eastAsia" w:asciiTheme="minorEastAsia" w:hAnsiTheme="minorEastAsia" w:eastAsiaTheme="minorEastAsia" w:cstheme="minorEastAsia"/>
          <w:color w:val="000000"/>
          <w:kern w:val="0"/>
          <w:sz w:val="32"/>
          <w:szCs w:val="32"/>
          <w:lang w:val="en-US" w:eastAsia="zh-CN"/>
        </w:rPr>
        <w:t>1380</w:t>
      </w:r>
      <w:r>
        <w:rPr>
          <w:rFonts w:hint="eastAsia" w:asciiTheme="minorEastAsia" w:hAnsiTheme="minorEastAsia" w:eastAsiaTheme="minorEastAsia" w:cstheme="minorEastAsia"/>
          <w:color w:val="000000"/>
          <w:kern w:val="0"/>
          <w:sz w:val="32"/>
          <w:szCs w:val="32"/>
        </w:rPr>
        <w:t>人，内容为</w:t>
      </w:r>
      <w:r>
        <w:rPr>
          <w:rFonts w:hint="eastAsia" w:asciiTheme="minorEastAsia" w:hAnsiTheme="minorEastAsia" w:eastAsiaTheme="minorEastAsia" w:cstheme="minorEastAsia"/>
          <w:color w:val="000000"/>
          <w:kern w:val="0"/>
          <w:sz w:val="32"/>
          <w:szCs w:val="32"/>
          <w:lang w:eastAsia="zh-CN"/>
        </w:rPr>
        <w:t>人大换届，党委换届，</w:t>
      </w:r>
      <w:r>
        <w:rPr>
          <w:rFonts w:hint="eastAsia" w:asciiTheme="minorEastAsia" w:hAnsiTheme="minorEastAsia" w:eastAsiaTheme="minorEastAsia" w:cstheme="minorEastAsia"/>
          <w:color w:val="000000"/>
          <w:kern w:val="0"/>
          <w:sz w:val="32"/>
          <w:szCs w:val="32"/>
          <w:lang w:val="en-US" w:eastAsia="zh-CN"/>
        </w:rPr>
        <w:t>2021年</w:t>
      </w:r>
      <w:r>
        <w:rPr>
          <w:rFonts w:hint="eastAsia" w:asciiTheme="minorEastAsia" w:hAnsiTheme="minorEastAsia" w:eastAsiaTheme="minorEastAsia" w:cstheme="minorEastAsia"/>
          <w:color w:val="000000"/>
          <w:kern w:val="0"/>
          <w:sz w:val="32"/>
          <w:szCs w:val="32"/>
          <w:lang w:eastAsia="zh-CN"/>
        </w:rPr>
        <w:t>经济工作部署，防汛抗旱</w:t>
      </w:r>
      <w:r>
        <w:rPr>
          <w:rFonts w:hint="eastAsia" w:asciiTheme="minorEastAsia" w:hAnsiTheme="minorEastAsia" w:eastAsiaTheme="minorEastAsia" w:cstheme="minorEastAsia"/>
          <w:sz w:val="32"/>
          <w:szCs w:val="32"/>
        </w:rPr>
        <w:t>应急预案拟定、启动、开展</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对疫情防控情况汇报、防控工作安排</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重温入党誓词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学习习近平总书记重要</w:t>
      </w:r>
      <w:r>
        <w:rPr>
          <w:rFonts w:hint="eastAsia" w:asciiTheme="minorEastAsia" w:hAnsiTheme="minorEastAsia" w:eastAsiaTheme="minorEastAsia" w:cstheme="minorEastAsia"/>
          <w:sz w:val="32"/>
          <w:szCs w:val="32"/>
          <w:lang w:eastAsia="zh-CN"/>
        </w:rPr>
        <w:t>讲</w:t>
      </w:r>
      <w:r>
        <w:rPr>
          <w:rFonts w:hint="eastAsia" w:asciiTheme="minorEastAsia" w:hAnsiTheme="minorEastAsia" w:eastAsiaTheme="minorEastAsia" w:cstheme="minorEastAsia"/>
          <w:sz w:val="32"/>
          <w:szCs w:val="32"/>
        </w:rPr>
        <w:t>话</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分发主题党日资料</w:t>
      </w:r>
      <w:r>
        <w:rPr>
          <w:rFonts w:hint="eastAsia" w:asciiTheme="minorEastAsia" w:hAnsiTheme="minorEastAsia" w:eastAsiaTheme="minorEastAsia" w:cstheme="minorEastAsia"/>
          <w:color w:val="000000"/>
          <w:kern w:val="0"/>
          <w:sz w:val="32"/>
          <w:szCs w:val="32"/>
          <w:lang w:eastAsia="zh-CN"/>
        </w:rPr>
        <w:t>等</w:t>
      </w:r>
      <w:r>
        <w:rPr>
          <w:rFonts w:hint="eastAsia" w:asciiTheme="minorEastAsia" w:hAnsiTheme="minorEastAsia" w:eastAsiaTheme="minorEastAsia" w:cstheme="minorEastAsia"/>
          <w:color w:val="000000"/>
          <w:kern w:val="0"/>
          <w:sz w:val="32"/>
          <w:szCs w:val="32"/>
        </w:rPr>
        <w:t>；开支培训费</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万元，</w:t>
      </w:r>
      <w:r>
        <w:rPr>
          <w:rFonts w:hint="eastAsia" w:asciiTheme="minorEastAsia" w:hAnsiTheme="minorEastAsia" w:eastAsiaTheme="minorEastAsia" w:cstheme="minorEastAsia"/>
          <w:color w:val="000000"/>
          <w:kern w:val="0"/>
          <w:sz w:val="32"/>
          <w:szCs w:val="32"/>
          <w:lang w:eastAsia="zh-CN"/>
        </w:rPr>
        <w:t>为</w:t>
      </w:r>
      <w:r>
        <w:rPr>
          <w:rFonts w:hint="eastAsia" w:asciiTheme="minorEastAsia" w:hAnsiTheme="minorEastAsia" w:eastAsiaTheme="minorEastAsia" w:cstheme="minorEastAsia"/>
          <w:sz w:val="32"/>
          <w:szCs w:val="32"/>
        </w:rPr>
        <w:t>考核平台的操作流程</w:t>
      </w:r>
      <w:r>
        <w:rPr>
          <w:rFonts w:hint="eastAsia" w:asciiTheme="minorEastAsia" w:hAnsiTheme="minorEastAsia" w:eastAsiaTheme="minorEastAsia" w:cstheme="minorEastAsia"/>
          <w:sz w:val="32"/>
          <w:szCs w:val="32"/>
          <w:lang w:eastAsia="zh-CN"/>
        </w:rPr>
        <w:t>培训，</w:t>
      </w:r>
      <w:r>
        <w:rPr>
          <w:rFonts w:hint="eastAsia" w:asciiTheme="minorEastAsia" w:hAnsiTheme="minorEastAsia" w:eastAsiaTheme="minorEastAsia" w:cstheme="minorEastAsia"/>
          <w:sz w:val="32"/>
          <w:szCs w:val="32"/>
        </w:rPr>
        <w:t>社会治理业务培训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疫情防控专业技能培训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消防应急安全知识培训</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防返贫监测信息操作员培训</w:t>
      </w:r>
      <w:r>
        <w:rPr>
          <w:rFonts w:hint="eastAsia" w:asciiTheme="minorEastAsia" w:hAnsiTheme="minorEastAsia" w:eastAsiaTheme="minorEastAsia" w:cstheme="minorEastAsia"/>
          <w:sz w:val="32"/>
          <w:szCs w:val="32"/>
          <w:lang w:eastAsia="zh-CN"/>
        </w:rPr>
        <w:t>等，人数为</w:t>
      </w:r>
      <w:r>
        <w:rPr>
          <w:rFonts w:hint="eastAsia" w:asciiTheme="minorEastAsia" w:hAnsiTheme="minorEastAsia" w:eastAsiaTheme="minorEastAsia" w:cstheme="minorEastAsia"/>
          <w:sz w:val="32"/>
          <w:szCs w:val="32"/>
          <w:lang w:val="en-US" w:eastAsia="zh-CN"/>
        </w:rPr>
        <w:t>620人。</w:t>
      </w:r>
    </w:p>
    <w:p>
      <w:pPr>
        <w:pStyle w:val="11"/>
        <w:numPr>
          <w:ilvl w:val="0"/>
          <w:numId w:val="0"/>
        </w:numPr>
        <w:rPr>
          <w:rFonts w:hint="eastAsia" w:hAnsi="黑体"/>
          <w:b/>
          <w:sz w:val="32"/>
          <w:szCs w:val="32"/>
        </w:rPr>
      </w:pPr>
    </w:p>
    <w:p>
      <w:pPr>
        <w:pStyle w:val="11"/>
        <w:rPr>
          <w:rFonts w:hAnsi="黑体"/>
          <w:b/>
          <w:sz w:val="32"/>
          <w:szCs w:val="32"/>
        </w:rPr>
      </w:pPr>
      <w:r>
        <w:rPr>
          <w:rFonts w:hint="eastAsia" w:hAnsi="黑体"/>
          <w:b/>
          <w:sz w:val="32"/>
          <w:szCs w:val="32"/>
        </w:rPr>
        <w:t>十一、政府采购支出说明</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eastAsia="zh-CN"/>
        </w:rPr>
        <w:t>2021</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60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10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30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w:t>
      </w:r>
      <w:r>
        <w:rPr>
          <w:rFonts w:hint="eastAsia" w:asciiTheme="minorEastAsia" w:hAnsiTheme="minorEastAsia" w:eastAsiaTheme="minorEastAsia"/>
          <w:sz w:val="32"/>
          <w:szCs w:val="32"/>
        </w:rPr>
        <w:t>其中：授予小微企业合同金额</w:t>
      </w:r>
      <w:r>
        <w:rPr>
          <w:rFonts w:hint="eastAsia" w:asciiTheme="minorEastAsia" w:hAnsiTheme="minorEastAsia"/>
          <w:sz w:val="32"/>
          <w:szCs w:val="32"/>
          <w:lang w:val="en-US" w:eastAsia="zh-CN"/>
        </w:rPr>
        <w:t>60</w:t>
      </w:r>
      <w:r>
        <w:rPr>
          <w:rFonts w:hint="eastAsia" w:asciiTheme="minorEastAsia" w:hAnsiTheme="minorEastAsia" w:eastAsiaTheme="minorEastAsia"/>
          <w:sz w:val="32"/>
          <w:szCs w:val="32"/>
        </w:rPr>
        <w:t>万元，占授予中小企业合同金额的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%；货物采购授予中小企业合同金额占货物支出金额的1</w:t>
      </w:r>
      <w:r>
        <w:rPr>
          <w:rFonts w:asciiTheme="minorEastAsia" w:hAnsiTheme="minorEastAsia" w:eastAsiaTheme="minorEastAsia"/>
          <w:sz w:val="32"/>
          <w:szCs w:val="32"/>
        </w:rPr>
        <w:t>00</w:t>
      </w:r>
      <w:r>
        <w:rPr>
          <w:rFonts w:hint="eastAsia" w:asciiTheme="minorEastAsia" w:hAnsiTheme="minorEastAsia" w:eastAsiaTheme="minorEastAsia"/>
          <w:sz w:val="32"/>
          <w:szCs w:val="32"/>
        </w:rPr>
        <w:t>%，工程采购授予中小企业合同金额占工程支出金额的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w:t>
      </w:r>
    </w:p>
    <w:p>
      <w:pPr>
        <w:pStyle w:val="11"/>
        <w:numPr>
          <w:ilvl w:val="0"/>
          <w:numId w:val="0"/>
        </w:numPr>
        <w:ind w:leftChars="0"/>
        <w:rPr>
          <w:rFonts w:hint="eastAsia" w:hAnsi="黑体"/>
          <w:b/>
          <w:sz w:val="32"/>
          <w:szCs w:val="32"/>
        </w:rPr>
      </w:pPr>
      <w:r>
        <w:rPr>
          <w:rFonts w:hint="eastAsia" w:hAnsi="黑体"/>
          <w:b/>
          <w:sz w:val="32"/>
          <w:szCs w:val="32"/>
          <w:lang w:eastAsia="zh-CN"/>
        </w:rPr>
        <w:t>十二、</w:t>
      </w:r>
      <w:r>
        <w:rPr>
          <w:rFonts w:hint="eastAsia" w:hAnsi="黑体"/>
          <w:b/>
          <w:sz w:val="32"/>
          <w:szCs w:val="32"/>
        </w:rPr>
        <w:t>国有资产占用情况说明</w:t>
      </w:r>
    </w:p>
    <w:p>
      <w:pPr>
        <w:ind w:firstLine="640" w:firstLineChars="200"/>
        <w:rPr>
          <w:rFonts w:hint="eastAsia" w:eastAsia="宋体"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截至</w:t>
      </w:r>
      <w:r>
        <w:rPr>
          <w:rFonts w:hint="eastAsia" w:cs="黑体" w:asciiTheme="minorEastAsia" w:hAnsiTheme="minorEastAsia"/>
          <w:color w:val="000000"/>
          <w:kern w:val="0"/>
          <w:sz w:val="32"/>
          <w:szCs w:val="32"/>
          <w:lang w:eastAsia="zh-CN"/>
        </w:rPr>
        <w:t>2021</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辆，其他用车主要是</w:t>
      </w:r>
      <w:r>
        <w:rPr>
          <w:rFonts w:hint="eastAsia" w:cs="黑体" w:asciiTheme="minorEastAsia" w:hAnsiTheme="minorEastAsia"/>
          <w:color w:val="000000"/>
          <w:kern w:val="0"/>
          <w:sz w:val="32"/>
          <w:szCs w:val="32"/>
          <w:lang w:eastAsia="zh-CN"/>
        </w:rPr>
        <w:t>环卫垃圾压缩车</w:t>
      </w:r>
      <w:r>
        <w:rPr>
          <w:rFonts w:hint="eastAsia" w:cs="黑体" w:asciiTheme="minorEastAsia" w:hAnsiTheme="minorEastAsia"/>
          <w:color w:val="000000"/>
          <w:kern w:val="0"/>
          <w:sz w:val="32"/>
          <w:szCs w:val="32"/>
        </w:rPr>
        <w:t>；单位价值50万元以上通用设备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r>
        <w:rPr>
          <w:rFonts w:hint="eastAsia" w:cs="黑体" w:asciiTheme="minorEastAsia" w:hAnsiTheme="minorEastAsia"/>
          <w:color w:val="000000"/>
          <w:kern w:val="0"/>
          <w:sz w:val="32"/>
          <w:szCs w:val="32"/>
          <w:lang w:eastAsia="zh-CN"/>
        </w:rPr>
        <w:t>。</w:t>
      </w:r>
    </w:p>
    <w:p>
      <w:pPr>
        <w:pStyle w:val="11"/>
        <w:numPr>
          <w:ilvl w:val="0"/>
          <w:numId w:val="0"/>
        </w:numPr>
        <w:ind w:leftChars="0"/>
        <w:rPr>
          <w:rFonts w:hint="eastAsia" w:hAnsi="黑体"/>
          <w:b/>
          <w:sz w:val="32"/>
          <w:szCs w:val="32"/>
        </w:rPr>
      </w:pPr>
    </w:p>
    <w:p>
      <w:pPr>
        <w:pStyle w:val="11"/>
        <w:rPr>
          <w:rFonts w:hAnsi="黑体"/>
          <w:b/>
          <w:sz w:val="32"/>
          <w:szCs w:val="32"/>
        </w:rPr>
      </w:pPr>
      <w:r>
        <w:rPr>
          <w:rFonts w:hint="eastAsia" w:hAnsi="黑体"/>
          <w:b/>
          <w:sz w:val="32"/>
          <w:szCs w:val="32"/>
        </w:rPr>
        <w:t>十三、2021年度预算绩效情况说明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本部门预算绩效管理开展情况、绩效目标和绩效评价报告等按照财政绩效部门要求已公开或作为其他有关部门需随同部门决算一同公开的绩效信息详见附件。</w:t>
      </w: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ind w:firstLine="3500" w:firstLineChars="500"/>
        <w:jc w:val="both"/>
        <w:rPr>
          <w:rFonts w:hint="eastAsia"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p>
    <w:p>
      <w:pPr>
        <w:ind w:firstLine="3500" w:firstLineChars="500"/>
        <w:jc w:val="both"/>
        <w:rPr>
          <w:rFonts w:hint="eastAsia"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一、一般公共服务支出（类）：是指用于人大、政协、政府办公厅（室）及相关机构事务、发展与改革事务、统计信息事务、财政事务、税收事务、审计事务、人 力资源事务、纪检监察事务、商贸事务、工商行政管理事务、质量技术监督与检验检疫事务、民族事务、档案事务、民主党派及工商联事务、群众团体事务、党委办 公厅（室）及相关机构事务、组织事务、宣传事务、统战事务、其他一般公共服务等方面的支出，包括保障机构正常运转、完成日常和特定的工作任务或事业发展目 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rPr>
          <w:sz w:val="32"/>
          <w:szCs w:val="30"/>
        </w:rPr>
      </w:pPr>
      <w:r>
        <w:rPr>
          <w:rFonts w:hint="eastAsia" w:cs="黑体" w:asciiTheme="minorEastAsia" w:hAnsiTheme="minorEastAsia"/>
          <w:color w:val="000000"/>
          <w:kern w:val="0"/>
          <w:sz w:val="32"/>
          <w:szCs w:val="32"/>
        </w:rPr>
        <w:t>四、</w:t>
      </w:r>
      <w:r>
        <w:rPr>
          <w:rFonts w:hint="eastAsia"/>
          <w:sz w:val="32"/>
          <w:szCs w:val="30"/>
        </w:rPr>
        <w:t>机关运行经费：是指公用经费，包括办公及印刷费、邮电费、差旅费、会议费、福利费、日常维修费、专用资料及一般设备购置费、办公用房水电费、办公用房取暖费、办公用房物业管理费、公务用车运行维护费以及其他费用。</w:t>
      </w:r>
    </w:p>
    <w:p>
      <w:pPr>
        <w:widowControl/>
        <w:jc w:val="center"/>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widowControl/>
        <w:jc w:val="center"/>
        <w:rPr>
          <w:rFonts w:ascii="黑体" w:eastAsia="黑体" w:cs="黑体"/>
          <w:color w:val="000000"/>
          <w:kern w:val="0"/>
          <w:sz w:val="70"/>
          <w:szCs w:val="70"/>
        </w:rPr>
      </w:pPr>
    </w:p>
    <w:p>
      <w:pPr>
        <w:widowControl/>
        <w:jc w:val="center"/>
        <w:rPr>
          <w:rFonts w:hint="eastAsia" w:ascii="黑体" w:eastAsia="黑体" w:cs="黑体" w:hAnsiTheme="minorHAnsi"/>
          <w:color w:val="000000"/>
          <w:kern w:val="0"/>
          <w:sz w:val="72"/>
          <w:szCs w:val="72"/>
          <w:lang w:val="en-US" w:eastAsia="zh-CN" w:bidi="ar-SA"/>
        </w:rPr>
      </w:pPr>
      <w:r>
        <w:rPr>
          <w:rFonts w:hint="eastAsia" w:ascii="黑体" w:eastAsia="黑体" w:cs="黑体" w:hAnsiTheme="minorHAnsi"/>
          <w:color w:val="000000"/>
          <w:kern w:val="0"/>
          <w:sz w:val="72"/>
          <w:szCs w:val="72"/>
          <w:lang w:val="en-US" w:eastAsia="zh-CN" w:bidi="ar-SA"/>
        </w:rPr>
        <w:t>第五部分</w:t>
      </w:r>
    </w:p>
    <w:p>
      <w:pPr>
        <w:widowControl/>
        <w:jc w:val="center"/>
        <w:rPr>
          <w:rFonts w:ascii="黑体" w:eastAsia="黑体" w:cs="黑体"/>
          <w:color w:val="000000"/>
          <w:kern w:val="0"/>
          <w:sz w:val="70"/>
          <w:szCs w:val="70"/>
        </w:rPr>
      </w:pPr>
      <w:r>
        <w:rPr>
          <w:rFonts w:hint="eastAsia" w:ascii="黑体" w:eastAsia="黑体" w:cs="黑体" w:hAnsiTheme="minorHAnsi"/>
          <w:color w:val="000000"/>
          <w:kern w:val="0"/>
          <w:sz w:val="72"/>
          <w:szCs w:val="72"/>
          <w:lang w:val="en-US" w:eastAsia="zh-CN" w:bidi="ar-SA"/>
        </w:rPr>
        <w:t>附件</w:t>
      </w: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p>
    <w:p>
      <w:pPr>
        <w:ind w:firstLine="640" w:firstLineChars="200"/>
        <w:jc w:val="center"/>
        <w:rPr>
          <w:rFonts w:cs="黑体" w:asciiTheme="minorEastAsia" w:hAnsiTheme="minorEastAsia"/>
          <w:color w:val="000000"/>
          <w:kern w:val="0"/>
          <w:sz w:val="32"/>
          <w:szCs w:val="32"/>
        </w:rPr>
      </w:pPr>
      <w:bookmarkStart w:id="2" w:name="_GoBack"/>
      <w:bookmarkEnd w:id="2"/>
    </w:p>
    <w:p>
      <w:pPr>
        <w:adjustRightInd w:val="0"/>
        <w:spacing w:line="600" w:lineRule="exact"/>
        <w:ind w:right="641"/>
        <w:jc w:val="center"/>
        <w:rPr>
          <w:rFonts w:ascii="Calibri" w:hAnsi="Calibri" w:eastAsia="黑体" w:cs="Times New Roman"/>
          <w:sz w:val="44"/>
          <w:szCs w:val="44"/>
        </w:rPr>
      </w:pPr>
      <w:r>
        <w:rPr>
          <w:rFonts w:hint="eastAsia" w:eastAsia="黑体"/>
          <w:sz w:val="44"/>
          <w:szCs w:val="44"/>
          <w:lang w:eastAsia="zh-CN"/>
        </w:rPr>
        <w:t>水东镇人民政府</w:t>
      </w:r>
      <w:r>
        <w:rPr>
          <w:rFonts w:hint="eastAsia" w:eastAsia="黑体"/>
          <w:sz w:val="44"/>
          <w:szCs w:val="44"/>
        </w:rPr>
        <w:t>部门整体支出绩效评价报告</w:t>
      </w:r>
    </w:p>
    <w:p>
      <w:pPr>
        <w:adjustRightInd w:val="0"/>
        <w:snapToGrid w:val="0"/>
        <w:spacing w:line="600" w:lineRule="exact"/>
        <w:ind w:firstLine="560" w:firstLineChars="200"/>
        <w:rPr>
          <w:rFonts w:ascii="Calibri" w:hAnsi="Calibri" w:eastAsia="黑体" w:cs="Times New Roman"/>
          <w:sz w:val="28"/>
          <w:szCs w:val="28"/>
        </w:rPr>
      </w:pPr>
      <w:r>
        <w:rPr>
          <w:rFonts w:ascii="Calibri" w:hAnsi="Calibri" w:eastAsia="黑体" w:cs="Times New Roman"/>
          <w:sz w:val="28"/>
          <w:szCs w:val="28"/>
        </w:rPr>
        <w:t>一、</w:t>
      </w:r>
      <w:r>
        <w:rPr>
          <w:rFonts w:hint="eastAsia" w:ascii="Calibri" w:hAnsi="Calibri" w:eastAsia="黑体" w:cs="Times New Roman"/>
          <w:sz w:val="28"/>
          <w:szCs w:val="28"/>
        </w:rPr>
        <w:t>部门</w:t>
      </w:r>
      <w:r>
        <w:rPr>
          <w:rFonts w:ascii="Calibri" w:hAnsi="Calibri" w:eastAsia="黑体" w:cs="Times New Roman"/>
          <w:sz w:val="28"/>
          <w:szCs w:val="28"/>
        </w:rPr>
        <w:t>概况</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水东镇位于洞口县东部，辖7个村，182个村小组。全镇总人口</w:t>
      </w:r>
      <w:r>
        <w:rPr>
          <w:rFonts w:hint="eastAsia" w:ascii="宋体" w:hAnsi="宋体" w:eastAsia="宋体" w:cs="宋体"/>
          <w:sz w:val="32"/>
          <w:szCs w:val="32"/>
          <w:highlight w:val="none"/>
        </w:rPr>
        <w:t>22833</w:t>
      </w:r>
      <w:r>
        <w:rPr>
          <w:rFonts w:hint="eastAsia" w:ascii="宋体" w:hAnsi="宋体" w:eastAsia="宋体" w:cs="宋体"/>
          <w:sz w:val="32"/>
          <w:szCs w:val="32"/>
        </w:rPr>
        <w:t>人，其中农业人口</w:t>
      </w:r>
      <w:r>
        <w:rPr>
          <w:rFonts w:hint="eastAsia" w:ascii="宋体" w:hAnsi="宋体" w:eastAsia="宋体" w:cs="宋体"/>
          <w:sz w:val="32"/>
          <w:szCs w:val="32"/>
          <w:highlight w:val="none"/>
        </w:rPr>
        <w:t>15132</w:t>
      </w:r>
      <w:r>
        <w:rPr>
          <w:rFonts w:hint="eastAsia" w:ascii="宋体" w:hAnsi="宋体" w:eastAsia="宋体" w:cs="宋体"/>
          <w:sz w:val="32"/>
          <w:szCs w:val="32"/>
        </w:rPr>
        <w:t>人，全镇行政总面积3488.57平方公顷，耕地面积21798亩。202</w:t>
      </w:r>
      <w:r>
        <w:rPr>
          <w:rFonts w:hint="eastAsia" w:ascii="宋体" w:hAnsi="宋体" w:eastAsia="宋体" w:cs="宋体"/>
          <w:sz w:val="32"/>
          <w:szCs w:val="32"/>
          <w:lang w:val="en-US" w:eastAsia="zh-CN"/>
        </w:rPr>
        <w:t>1</w:t>
      </w:r>
      <w:r>
        <w:rPr>
          <w:rFonts w:hint="eastAsia" w:ascii="宋体" w:hAnsi="宋体" w:eastAsia="宋体" w:cs="宋体"/>
          <w:sz w:val="32"/>
          <w:szCs w:val="32"/>
        </w:rPr>
        <w:t>年财政拨款人数6</w:t>
      </w:r>
      <w:r>
        <w:rPr>
          <w:rFonts w:hint="eastAsia" w:ascii="宋体" w:hAnsi="宋体" w:eastAsia="宋体" w:cs="宋体"/>
          <w:sz w:val="32"/>
          <w:szCs w:val="32"/>
          <w:lang w:val="en-US" w:eastAsia="zh-CN"/>
        </w:rPr>
        <w:t>7</w:t>
      </w:r>
      <w:r>
        <w:rPr>
          <w:rFonts w:hint="eastAsia" w:ascii="宋体" w:hAnsi="宋体" w:eastAsia="宋体" w:cs="宋体"/>
          <w:sz w:val="32"/>
          <w:szCs w:val="32"/>
        </w:rPr>
        <w:t>人，其中</w:t>
      </w:r>
      <w:r>
        <w:rPr>
          <w:rFonts w:hint="eastAsia" w:ascii="宋体" w:hAnsi="宋体" w:eastAsia="宋体" w:cs="宋体"/>
          <w:sz w:val="32"/>
          <w:szCs w:val="32"/>
          <w:lang w:eastAsia="zh-CN"/>
        </w:rPr>
        <w:t>：</w:t>
      </w:r>
      <w:r>
        <w:rPr>
          <w:rFonts w:hint="eastAsia" w:ascii="宋体" w:hAnsi="宋体" w:eastAsia="宋体" w:cs="宋体"/>
          <w:sz w:val="32"/>
          <w:szCs w:val="32"/>
        </w:rPr>
        <w:t>在职5</w:t>
      </w:r>
      <w:r>
        <w:rPr>
          <w:rFonts w:hint="eastAsia" w:ascii="宋体" w:hAnsi="宋体" w:eastAsia="宋体" w:cs="宋体"/>
          <w:sz w:val="32"/>
          <w:szCs w:val="32"/>
          <w:lang w:val="en-US" w:eastAsia="zh-CN"/>
        </w:rPr>
        <w:t>9</w:t>
      </w:r>
      <w:r>
        <w:rPr>
          <w:rFonts w:hint="eastAsia" w:ascii="宋体" w:hAnsi="宋体" w:eastAsia="宋体" w:cs="宋体"/>
          <w:sz w:val="32"/>
          <w:szCs w:val="32"/>
        </w:rPr>
        <w:t>人，退休8人。</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水东镇人民政府下设党政综合办公室，基层党建办公室，经济发展办公室，社会事务办公室，社会治安和应急管理办公室，财政所，综合行政执法大队，社会事务综合服务中心，农业综合服务中心，政务服务中心，退役军人服务中心，自然资源和生态环境办公室。</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政府主要职责</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（2）制定并组织实施村镇建设规划，部署重点工程建设、地方道路建设及公共设施，水利设施的管理，负责土地、林木、水等自然资源和生态环境的保护，做好护林防火工作。</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（4）按计划组织本级财政收入和地方税的征收，完成国家财政计划，不断培植税源，管好财政资金，增强财政实力。</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（5）抓好精神文明建设，丰富群众文化生活，提倡移风易俗，反对封建迷信，破除陈规陋习，树立社会主义新风尚。</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（6）执行本级人民代表大会的决议和上级国家行政机关的决定和命令，发布决定和命令。</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（7）执行本行政区域内的经济和社会发展计划、预算管理本行政区域内的经济、教育、科学、文化、卫生、体育事业和财政、民政、公安、司法行政、计划生育等行政工作。</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（8）保护社会主义的全民所有的财产和劳动群众集体所有财产，保护公民私有的合法财产、维护社会秩序、保障公民的人身权利、民主权利和其他权利。</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（9）保障农村集体经济组织应有的自主权。</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（10）保障少数民族的权利和尊重少数民族的风俗习惯。</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（11）保障宪法和法律赋予妇女的男女平等、同工同酬和婚姻自由等各项权利。</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（12）办理上级人民政府交办的其它事项。</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组织构架，人员编制</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洞口县水东镇人民政府行政编制人数26人，事业编制人数40人，实有人数6</w:t>
      </w:r>
      <w:r>
        <w:rPr>
          <w:rFonts w:hint="eastAsia" w:ascii="宋体" w:hAnsi="宋体" w:eastAsia="宋体" w:cs="宋体"/>
          <w:sz w:val="32"/>
          <w:szCs w:val="32"/>
          <w:lang w:val="en-US" w:eastAsia="zh-CN"/>
        </w:rPr>
        <w:t>7</w:t>
      </w:r>
      <w:r>
        <w:rPr>
          <w:rFonts w:hint="eastAsia" w:ascii="宋体" w:hAnsi="宋体" w:eastAsia="宋体" w:cs="宋体"/>
          <w:sz w:val="32"/>
          <w:szCs w:val="32"/>
        </w:rPr>
        <w:t>人，其中在职5</w:t>
      </w:r>
      <w:r>
        <w:rPr>
          <w:rFonts w:hint="eastAsia" w:ascii="宋体" w:hAnsi="宋体" w:eastAsia="宋体" w:cs="宋体"/>
          <w:sz w:val="32"/>
          <w:szCs w:val="32"/>
          <w:lang w:val="en-US" w:eastAsia="zh-CN"/>
        </w:rPr>
        <w:t>9</w:t>
      </w:r>
      <w:r>
        <w:rPr>
          <w:rFonts w:hint="eastAsia" w:ascii="宋体" w:hAnsi="宋体" w:eastAsia="宋体" w:cs="宋体"/>
          <w:sz w:val="32"/>
          <w:szCs w:val="32"/>
        </w:rPr>
        <w:t>人，退休8人。政府下设党政综合办公室，基层党建办公室，经济发展办公室，社会事务办公室，社会治安和应急管理办公室，财政所，综合行政执法大队，社会事务综合服务中心，农业综合服务中心，政务服务中心，退役军人服务中心，自然资源和生态环境办公室。</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资金支出管理</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（1）实行收支两条线管理制度。所有预算外收入必须纳入财政管理，乡镇政府机关工作人员收费项目依据标准，并出具由财政部门监制的正规收款收据，严禁各职能部门私设小金库，坐收坐支。</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（2）实行财务支出一笔审批制度。一次性开支5000元以内的由分管财务领导审批，5000-10000元的须经集体研究决定审批。10000元以上的须乡镇党政联席会议研究决定审批。</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报账人员必须严格执行财经纪律和财务制度。应根据真实、合法、完整、手续齐全的原始凭证办理收付手续，并将办理后的原始凭证移交会计人员。各项开支报销必须注明时间、地点、人物、事由及相关附件。</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（4）机关办公用品由党政办统一编制采购计划，经分管财务领导审批同意后购买，并负责保管、分发。</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（5）工作人员外出考察学习，办理公务，必须持有上级有关文件或电话通知记录，经乡镇主要领导同意，费用实行一次一报制度，非上级安排的进修学习、费用一律自理。</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（6）小车费用管理。严格执行《乡镇小车管理制度》，出车必须经过主要领导同意，办公室统一安排。车辆维修到特约维修站维修保养。燃油费按出车里程由办公室审核后才能报销。</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（7）招待制度。严格执行《乡镇公务接待制度》，乡镇所有来客，经乡镇主要领导同意后，由办公室统一安排，一律招待工作餐，对口作陪。</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（8）各种工程项目和大批采购，经领导班子集体讨论，由县政府采购中心采购。</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（9）财政补贴农民资金和其他专项资金按相关管理制度执行。</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（10）乡镇机关财务实行定期公开，每半年由分管领导向班子会进行一次全面通报。</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eastAsia="zh-CN"/>
        </w:rPr>
        <w:t>（四）</w:t>
      </w:r>
      <w:r>
        <w:rPr>
          <w:rFonts w:hint="eastAsia" w:ascii="宋体" w:hAnsi="宋体" w:eastAsia="宋体" w:cs="宋体"/>
          <w:sz w:val="32"/>
          <w:szCs w:val="32"/>
        </w:rPr>
        <w:t>年度重点工作</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财税任务；（2）精准扶贫工作；（3）民政低保户、五保户、退役军人、优抚纳入工作；（4）基础设施建设；（5）城乡养老保险、新农合医保征收工作；（6）科教文卫工作；（7）信访维稳；(8)安全生产、防汛抗旱工作；（9）基层党建工作。</w:t>
      </w:r>
    </w:p>
    <w:p>
      <w:pPr>
        <w:adjustRightInd w:val="0"/>
        <w:snapToGrid w:val="0"/>
        <w:spacing w:line="600" w:lineRule="exact"/>
        <w:ind w:firstLine="640" w:firstLineChars="200"/>
        <w:rPr>
          <w:rFonts w:ascii="Calibri" w:hAnsi="Calibri" w:eastAsia="黑体" w:cs="Times New Roman"/>
          <w:sz w:val="32"/>
          <w:szCs w:val="32"/>
        </w:rPr>
      </w:pPr>
      <w:r>
        <w:rPr>
          <w:rFonts w:ascii="Calibri" w:hAnsi="Calibri" w:eastAsia="黑体" w:cs="Times New Roman"/>
          <w:sz w:val="32"/>
          <w:szCs w:val="32"/>
        </w:rPr>
        <w:t>二、</w:t>
      </w:r>
      <w:r>
        <w:rPr>
          <w:rFonts w:hint="eastAsia" w:ascii="Calibri" w:hAnsi="Calibri" w:eastAsia="黑体" w:cs="Times New Roman"/>
          <w:sz w:val="32"/>
          <w:szCs w:val="32"/>
        </w:rPr>
        <w:t>部门整体支出</w:t>
      </w:r>
      <w:r>
        <w:rPr>
          <w:rFonts w:ascii="Calibri" w:hAnsi="Calibri" w:eastAsia="黑体" w:cs="Times New Roman"/>
          <w:sz w:val="32"/>
          <w:szCs w:val="32"/>
        </w:rPr>
        <w:t>管理及使用情况</w:t>
      </w:r>
    </w:p>
    <w:p>
      <w:pPr>
        <w:adjustRightInd w:val="0"/>
        <w:snapToGrid w:val="0"/>
        <w:spacing w:line="600" w:lineRule="exact"/>
        <w:ind w:firstLine="640"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（一）基本支出</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基本支出用于为保障机构正常运转、完成日常工作任务而发生的支出。202</w:t>
      </w:r>
      <w:r>
        <w:rPr>
          <w:rFonts w:hint="eastAsia" w:ascii="宋体" w:hAnsi="宋体" w:eastAsia="宋体" w:cs="宋体"/>
          <w:sz w:val="32"/>
          <w:szCs w:val="32"/>
          <w:lang w:val="en-US" w:eastAsia="zh-CN"/>
        </w:rPr>
        <w:t>1</w:t>
      </w:r>
      <w:r>
        <w:rPr>
          <w:rFonts w:hint="eastAsia" w:ascii="宋体" w:hAnsi="宋体" w:eastAsia="宋体" w:cs="宋体"/>
          <w:sz w:val="32"/>
          <w:szCs w:val="32"/>
        </w:rPr>
        <w:t>年年初预算批复的基本支出为</w:t>
      </w:r>
      <w:r>
        <w:rPr>
          <w:rFonts w:hint="eastAsia" w:ascii="宋体" w:hAnsi="宋体" w:cs="宋体"/>
          <w:sz w:val="32"/>
          <w:szCs w:val="32"/>
          <w:highlight w:val="none"/>
          <w:lang w:val="en-US" w:eastAsia="zh-CN"/>
        </w:rPr>
        <w:t>613.92</w:t>
      </w:r>
      <w:r>
        <w:rPr>
          <w:rFonts w:hint="eastAsia" w:ascii="宋体" w:hAnsi="宋体" w:eastAsia="宋体" w:cs="宋体"/>
          <w:sz w:val="32"/>
          <w:szCs w:val="32"/>
        </w:rPr>
        <w:t>万元。</w:t>
      </w:r>
    </w:p>
    <w:p>
      <w:p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highlight w:val="none"/>
          <w:lang w:eastAsia="zh-CN"/>
        </w:rPr>
        <w:t>）</w:t>
      </w:r>
      <w:r>
        <w:rPr>
          <w:rFonts w:hint="eastAsia" w:ascii="宋体" w:hAnsi="宋体" w:eastAsia="宋体" w:cs="宋体"/>
          <w:sz w:val="32"/>
          <w:szCs w:val="32"/>
          <w:highlight w:val="none"/>
        </w:rPr>
        <w:t>2</w:t>
      </w:r>
      <w:r>
        <w:rPr>
          <w:rFonts w:hint="eastAsia" w:ascii="宋体" w:hAnsi="宋体" w:eastAsia="宋体" w:cs="宋体"/>
          <w:sz w:val="32"/>
          <w:szCs w:val="32"/>
          <w:highlight w:val="none"/>
          <w:lang w:val="en-US" w:eastAsia="zh-CN"/>
        </w:rPr>
        <w:t>021</w:t>
      </w:r>
      <w:r>
        <w:rPr>
          <w:rFonts w:hint="eastAsia" w:ascii="宋体" w:hAnsi="宋体" w:eastAsia="宋体" w:cs="宋体"/>
          <w:sz w:val="32"/>
          <w:szCs w:val="32"/>
          <w:highlight w:val="none"/>
        </w:rPr>
        <w:t>年决算基本支出</w:t>
      </w:r>
      <w:r>
        <w:rPr>
          <w:rFonts w:hint="eastAsia" w:ascii="宋体" w:hAnsi="宋体" w:eastAsia="宋体" w:cs="宋体"/>
          <w:sz w:val="32"/>
          <w:szCs w:val="32"/>
          <w:highlight w:val="none"/>
          <w:lang w:val="en-US" w:eastAsia="zh-CN"/>
        </w:rPr>
        <w:t>1116.5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其中：工资福利支出</w:t>
      </w:r>
      <w:r>
        <w:rPr>
          <w:rFonts w:hint="eastAsia" w:ascii="宋体" w:hAnsi="宋体" w:eastAsia="宋体" w:cs="宋体"/>
          <w:sz w:val="32"/>
          <w:szCs w:val="32"/>
          <w:highlight w:val="none"/>
          <w:lang w:val="en-US" w:eastAsia="zh-CN"/>
        </w:rPr>
        <w:t>644.1</w:t>
      </w:r>
      <w:r>
        <w:rPr>
          <w:rFonts w:hint="eastAsia" w:ascii="宋体" w:hAnsi="宋体" w:eastAsia="宋体" w:cs="宋体"/>
          <w:sz w:val="32"/>
          <w:szCs w:val="32"/>
          <w:highlight w:val="none"/>
        </w:rPr>
        <w:t>万元、商品和服务支出</w:t>
      </w:r>
      <w:r>
        <w:rPr>
          <w:rFonts w:hint="eastAsia" w:ascii="宋体" w:hAnsi="宋体" w:eastAsia="宋体" w:cs="宋体"/>
          <w:sz w:val="32"/>
          <w:szCs w:val="32"/>
          <w:highlight w:val="none"/>
          <w:lang w:val="en-US" w:eastAsia="zh-CN"/>
        </w:rPr>
        <w:t>402.3</w:t>
      </w:r>
      <w:r>
        <w:rPr>
          <w:rFonts w:hint="eastAsia" w:ascii="宋体" w:hAnsi="宋体" w:eastAsia="宋体" w:cs="宋体"/>
          <w:sz w:val="32"/>
          <w:szCs w:val="32"/>
          <w:highlight w:val="none"/>
        </w:rPr>
        <w:t>万元、对个人和家庭补助</w:t>
      </w:r>
      <w:r>
        <w:rPr>
          <w:rFonts w:hint="eastAsia" w:ascii="宋体" w:hAnsi="宋体" w:eastAsia="宋体" w:cs="宋体"/>
          <w:sz w:val="32"/>
          <w:szCs w:val="32"/>
          <w:highlight w:val="none"/>
          <w:lang w:val="en-US" w:eastAsia="zh-CN"/>
        </w:rPr>
        <w:t>70.1</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决算数与年初预算指标对比，基本支出差异</w:t>
      </w:r>
      <w:r>
        <w:rPr>
          <w:rFonts w:hint="eastAsia" w:ascii="宋体" w:hAnsi="宋体" w:eastAsia="宋体" w:cs="宋体"/>
          <w:sz w:val="32"/>
          <w:szCs w:val="32"/>
          <w:highlight w:val="none"/>
          <w:lang w:val="en-US" w:eastAsia="zh-CN"/>
        </w:rPr>
        <w:t>507.51</w:t>
      </w:r>
      <w:r>
        <w:rPr>
          <w:rFonts w:hint="eastAsia" w:ascii="宋体" w:hAnsi="宋体" w:eastAsia="宋体" w:cs="宋体"/>
          <w:sz w:val="32"/>
          <w:szCs w:val="32"/>
          <w:highlight w:val="none"/>
        </w:rPr>
        <w:t>万元，其中工资福利支出差</w:t>
      </w:r>
      <w:r>
        <w:rPr>
          <w:rFonts w:hint="eastAsia" w:ascii="宋体" w:hAnsi="宋体" w:eastAsia="宋体" w:cs="宋体"/>
          <w:sz w:val="32"/>
          <w:szCs w:val="32"/>
          <w:highlight w:val="none"/>
          <w:lang w:val="en-US" w:eastAsia="zh-CN"/>
        </w:rPr>
        <w:t>180.16</w:t>
      </w:r>
      <w:r>
        <w:rPr>
          <w:rFonts w:hint="eastAsia" w:ascii="宋体" w:hAnsi="宋体" w:eastAsia="宋体" w:cs="宋体"/>
          <w:sz w:val="32"/>
          <w:szCs w:val="32"/>
          <w:highlight w:val="none"/>
        </w:rPr>
        <w:t>万元，主要原因为工资</w:t>
      </w:r>
      <w:r>
        <w:rPr>
          <w:rFonts w:hint="eastAsia" w:ascii="宋体" w:hAnsi="宋体" w:eastAsia="宋体" w:cs="宋体"/>
          <w:sz w:val="32"/>
          <w:szCs w:val="32"/>
          <w:highlight w:val="none"/>
          <w:lang w:eastAsia="zh-CN"/>
        </w:rPr>
        <w:t>及乡镇补贴</w:t>
      </w:r>
      <w:r>
        <w:rPr>
          <w:rFonts w:hint="eastAsia" w:ascii="宋体" w:hAnsi="宋体" w:eastAsia="宋体" w:cs="宋体"/>
          <w:sz w:val="32"/>
          <w:szCs w:val="32"/>
          <w:highlight w:val="none"/>
        </w:rPr>
        <w:t>普调、新增人员</w:t>
      </w:r>
      <w:r>
        <w:rPr>
          <w:rFonts w:hint="eastAsia" w:ascii="宋体" w:hAnsi="宋体" w:eastAsia="宋体" w:cs="宋体"/>
          <w:sz w:val="32"/>
          <w:szCs w:val="32"/>
          <w:highlight w:val="none"/>
          <w:lang w:val="en-US" w:eastAsia="zh-CN"/>
        </w:rPr>
        <w:t>,公务员车及事业编车补年初预算没有全额</w:t>
      </w:r>
      <w:r>
        <w:rPr>
          <w:rFonts w:hint="eastAsia" w:ascii="宋体" w:hAnsi="宋体" w:eastAsia="宋体" w:cs="宋体"/>
          <w:sz w:val="32"/>
          <w:szCs w:val="32"/>
          <w:lang w:val="en-US" w:eastAsia="zh-CN"/>
        </w:rPr>
        <w:t>拨款到位</w:t>
      </w:r>
      <w:r>
        <w:rPr>
          <w:rFonts w:hint="eastAsia" w:ascii="宋体" w:hAnsi="宋体" w:eastAsia="宋体" w:cs="宋体"/>
          <w:sz w:val="32"/>
          <w:szCs w:val="32"/>
        </w:rPr>
        <w:t>等；</w:t>
      </w:r>
      <w:r>
        <w:rPr>
          <w:rFonts w:hint="eastAsia" w:ascii="宋体" w:hAnsi="宋体" w:eastAsia="宋体" w:cs="宋体"/>
          <w:sz w:val="32"/>
          <w:szCs w:val="32"/>
          <w:highlight w:val="none"/>
        </w:rPr>
        <w:t>商品和服务支出差异</w:t>
      </w:r>
      <w:r>
        <w:rPr>
          <w:rFonts w:hint="eastAsia" w:ascii="宋体" w:hAnsi="宋体" w:eastAsia="宋体" w:cs="宋体"/>
          <w:sz w:val="32"/>
          <w:szCs w:val="32"/>
          <w:highlight w:val="none"/>
          <w:lang w:val="en-US" w:eastAsia="zh-CN"/>
        </w:rPr>
        <w:t>301.66</w:t>
      </w:r>
      <w:r>
        <w:rPr>
          <w:rFonts w:hint="eastAsia" w:ascii="宋体" w:hAnsi="宋体" w:eastAsia="宋体" w:cs="宋体"/>
          <w:sz w:val="32"/>
          <w:szCs w:val="32"/>
          <w:highlight w:val="none"/>
        </w:rPr>
        <w:t>万元，主要原因为拨村级资金及</w:t>
      </w:r>
      <w:r>
        <w:rPr>
          <w:rFonts w:hint="eastAsia" w:ascii="宋体" w:hAnsi="宋体" w:eastAsia="宋体" w:cs="宋体"/>
          <w:sz w:val="32"/>
          <w:szCs w:val="32"/>
          <w:highlight w:val="none"/>
          <w:lang w:eastAsia="zh-CN"/>
        </w:rPr>
        <w:t>各村级专项工程</w:t>
      </w:r>
      <w:r>
        <w:rPr>
          <w:rFonts w:hint="eastAsia" w:ascii="宋体" w:hAnsi="宋体" w:eastAsia="宋体" w:cs="宋体"/>
          <w:sz w:val="32"/>
          <w:szCs w:val="32"/>
          <w:highlight w:val="none"/>
        </w:rPr>
        <w:t>资金</w:t>
      </w:r>
      <w:r>
        <w:rPr>
          <w:rFonts w:hint="eastAsia" w:ascii="宋体" w:hAnsi="宋体" w:eastAsia="宋体" w:cs="宋体"/>
          <w:sz w:val="32"/>
          <w:szCs w:val="32"/>
          <w:highlight w:val="none"/>
          <w:lang w:eastAsia="zh-CN"/>
        </w:rPr>
        <w:t>及镇的专项工程款</w:t>
      </w:r>
      <w:r>
        <w:rPr>
          <w:rFonts w:hint="eastAsia" w:ascii="宋体" w:hAnsi="宋体" w:eastAsia="宋体" w:cs="宋体"/>
          <w:sz w:val="32"/>
          <w:szCs w:val="32"/>
          <w:highlight w:val="none"/>
        </w:rPr>
        <w:t>等、镇政府印刷费、</w:t>
      </w:r>
      <w:r>
        <w:rPr>
          <w:rFonts w:hint="eastAsia" w:ascii="宋体" w:hAnsi="宋体" w:eastAsia="宋体" w:cs="宋体"/>
          <w:sz w:val="32"/>
          <w:szCs w:val="32"/>
          <w:highlight w:val="none"/>
          <w:lang w:eastAsia="zh-CN"/>
        </w:rPr>
        <w:t>办公费、</w:t>
      </w:r>
      <w:r>
        <w:rPr>
          <w:rFonts w:hint="eastAsia" w:ascii="宋体" w:hAnsi="宋体" w:eastAsia="宋体" w:cs="宋体"/>
          <w:sz w:val="32"/>
          <w:szCs w:val="32"/>
          <w:highlight w:val="none"/>
        </w:rPr>
        <w:t>交通费、信访接访差旅费、农林水等开支超预算；对个人和家庭的补助差异</w:t>
      </w:r>
      <w:r>
        <w:rPr>
          <w:rFonts w:hint="eastAsia" w:ascii="宋体" w:hAnsi="宋体" w:eastAsia="宋体" w:cs="宋体"/>
          <w:sz w:val="32"/>
          <w:szCs w:val="32"/>
          <w:highlight w:val="none"/>
          <w:lang w:val="en-US" w:eastAsia="zh-CN"/>
        </w:rPr>
        <w:t>26.93</w:t>
      </w:r>
      <w:r>
        <w:rPr>
          <w:rFonts w:hint="eastAsia" w:ascii="宋体" w:hAnsi="宋体" w:eastAsia="宋体" w:cs="宋体"/>
          <w:sz w:val="32"/>
          <w:szCs w:val="32"/>
          <w:highlight w:val="none"/>
        </w:rPr>
        <w:t>万元，主要</w:t>
      </w:r>
      <w:r>
        <w:rPr>
          <w:rFonts w:hint="eastAsia" w:ascii="宋体" w:hAnsi="宋体" w:eastAsia="宋体" w:cs="宋体"/>
          <w:sz w:val="32"/>
          <w:szCs w:val="32"/>
          <w:highlight w:val="none"/>
          <w:lang w:eastAsia="zh-CN"/>
        </w:rPr>
        <w:t>原因为</w:t>
      </w:r>
      <w:r>
        <w:rPr>
          <w:rFonts w:hint="eastAsia" w:ascii="宋体" w:hAnsi="宋体" w:eastAsia="宋体" w:cs="宋体"/>
          <w:sz w:val="32"/>
          <w:szCs w:val="32"/>
          <w:highlight w:val="none"/>
        </w:rPr>
        <w:t>抚恤金、救济费、政府干部单位部分住房公积金、其他对个人和家庭补助支出等科目，其</w:t>
      </w:r>
      <w:r>
        <w:rPr>
          <w:rFonts w:hint="eastAsia" w:ascii="宋体" w:hAnsi="宋体" w:eastAsia="宋体" w:cs="宋体"/>
          <w:sz w:val="32"/>
          <w:szCs w:val="32"/>
          <w:highlight w:val="none"/>
          <w:lang w:eastAsia="zh-CN"/>
        </w:rPr>
        <w:t>中，</w:t>
      </w:r>
      <w:r>
        <w:rPr>
          <w:rFonts w:hint="eastAsia" w:ascii="宋体" w:hAnsi="宋体" w:eastAsia="宋体" w:cs="宋体"/>
          <w:sz w:val="32"/>
          <w:szCs w:val="32"/>
          <w:highlight w:val="none"/>
        </w:rPr>
        <w:t>镇政府干部工资普调、晋级等需增补发住房公积金</w:t>
      </w:r>
      <w:r>
        <w:rPr>
          <w:rFonts w:hint="eastAsia" w:ascii="宋体" w:hAnsi="宋体" w:eastAsia="宋体" w:cs="宋体"/>
          <w:sz w:val="32"/>
          <w:szCs w:val="32"/>
          <w:highlight w:val="none"/>
          <w:lang w:eastAsia="zh-CN"/>
        </w:rPr>
        <w:t>补助划入对个人和家庭的补助</w:t>
      </w:r>
      <w:r>
        <w:rPr>
          <w:rFonts w:hint="eastAsia" w:ascii="宋体" w:hAnsi="宋体" w:eastAsia="宋体" w:cs="宋体"/>
          <w:sz w:val="32"/>
          <w:szCs w:val="32"/>
          <w:highlight w:val="none"/>
          <w:lang w:val="en-US" w:eastAsia="zh-CN"/>
        </w:rPr>
        <w:t>.</w:t>
      </w:r>
    </w:p>
    <w:p>
      <w:pPr>
        <w:numPr>
          <w:ilvl w:val="0"/>
          <w:numId w:val="5"/>
        </w:numPr>
        <w:adjustRightInd w:val="0"/>
        <w:snapToGrid w:val="0"/>
        <w:spacing w:line="600" w:lineRule="exact"/>
        <w:ind w:left="158" w:leftChars="0" w:firstLine="472"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三公”经费情况。2021年初批复预算的“三公”经费为7万元，其中:公务接待费5万元、公务用车购置及运行维护费2万元。全年决算支出“三公”经费4.55万元，其中公务接待费1.55万元、公务用车购置及运行维护费3万元。较上年决算支出减少5.02万元，下降52.7%；较年初预算下降2.02万元，下降比例为28.85%。具体情况列表如下：</w:t>
      </w:r>
    </w:p>
    <w:tbl>
      <w:tblPr>
        <w:tblStyle w:val="8"/>
        <w:tblW w:w="9581"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584"/>
        <w:gridCol w:w="1200"/>
        <w:gridCol w:w="1263"/>
        <w:gridCol w:w="1237"/>
        <w:gridCol w:w="329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2" w:hRule="atLeast"/>
          <w:jc w:val="center"/>
        </w:trPr>
        <w:tc>
          <w:tcPr>
            <w:tcW w:w="2584"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项目</w:t>
            </w:r>
          </w:p>
        </w:tc>
        <w:tc>
          <w:tcPr>
            <w:tcW w:w="1200"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年初预算数</w:t>
            </w:r>
          </w:p>
        </w:tc>
        <w:tc>
          <w:tcPr>
            <w:tcW w:w="1263"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年末决算数</w:t>
            </w:r>
          </w:p>
        </w:tc>
        <w:tc>
          <w:tcPr>
            <w:tcW w:w="123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金额差异</w:t>
            </w:r>
          </w:p>
        </w:tc>
        <w:tc>
          <w:tcPr>
            <w:tcW w:w="329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超支（+）节约（-）比率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49" w:hRule="atLeast"/>
          <w:jc w:val="center"/>
        </w:trPr>
        <w:tc>
          <w:tcPr>
            <w:tcW w:w="2584"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公务接待费</w:t>
            </w:r>
          </w:p>
        </w:tc>
        <w:tc>
          <w:tcPr>
            <w:tcW w:w="1200"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5</w:t>
            </w:r>
          </w:p>
        </w:tc>
        <w:tc>
          <w:tcPr>
            <w:tcW w:w="1263"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1.5</w:t>
            </w:r>
          </w:p>
        </w:tc>
        <w:tc>
          <w:tcPr>
            <w:tcW w:w="123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-3.5</w:t>
            </w:r>
          </w:p>
        </w:tc>
        <w:tc>
          <w:tcPr>
            <w:tcW w:w="329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-70%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724" w:hRule="atLeast"/>
          <w:jc w:val="center"/>
        </w:trPr>
        <w:tc>
          <w:tcPr>
            <w:tcW w:w="2584"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公务用车购置及运行维护费</w:t>
            </w:r>
          </w:p>
        </w:tc>
        <w:tc>
          <w:tcPr>
            <w:tcW w:w="1200"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2</w:t>
            </w:r>
          </w:p>
        </w:tc>
        <w:tc>
          <w:tcPr>
            <w:tcW w:w="1263"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3</w:t>
            </w:r>
          </w:p>
        </w:tc>
        <w:tc>
          <w:tcPr>
            <w:tcW w:w="123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+1</w:t>
            </w:r>
          </w:p>
        </w:tc>
        <w:tc>
          <w:tcPr>
            <w:tcW w:w="329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+50%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2584"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其中：公务用车运行维护费</w:t>
            </w:r>
          </w:p>
        </w:tc>
        <w:tc>
          <w:tcPr>
            <w:tcW w:w="1200"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2</w:t>
            </w:r>
          </w:p>
        </w:tc>
        <w:tc>
          <w:tcPr>
            <w:tcW w:w="1263"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3</w:t>
            </w:r>
          </w:p>
        </w:tc>
        <w:tc>
          <w:tcPr>
            <w:tcW w:w="123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default"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+1</w:t>
            </w:r>
          </w:p>
        </w:tc>
        <w:tc>
          <w:tcPr>
            <w:tcW w:w="329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+50%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2584"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公务车购置费</w:t>
            </w:r>
          </w:p>
        </w:tc>
        <w:tc>
          <w:tcPr>
            <w:tcW w:w="1200"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0</w:t>
            </w:r>
          </w:p>
        </w:tc>
        <w:tc>
          <w:tcPr>
            <w:tcW w:w="1263"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0</w:t>
            </w:r>
          </w:p>
        </w:tc>
        <w:tc>
          <w:tcPr>
            <w:tcW w:w="123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0</w:t>
            </w:r>
          </w:p>
        </w:tc>
        <w:tc>
          <w:tcPr>
            <w:tcW w:w="329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514" w:hRule="atLeast"/>
          <w:jc w:val="center"/>
        </w:trPr>
        <w:tc>
          <w:tcPr>
            <w:tcW w:w="2584"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合计</w:t>
            </w:r>
          </w:p>
        </w:tc>
        <w:tc>
          <w:tcPr>
            <w:tcW w:w="1200"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p>
        </w:tc>
        <w:tc>
          <w:tcPr>
            <w:tcW w:w="1263"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p>
        </w:tc>
        <w:tc>
          <w:tcPr>
            <w:tcW w:w="123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p>
        </w:tc>
        <w:tc>
          <w:tcPr>
            <w:tcW w:w="3297" w:type="dxa"/>
            <w:tcBorders>
              <w:top w:val="outset" w:color="000000" w:sz="6" w:space="0"/>
              <w:left w:val="outset" w:color="000000" w:sz="6" w:space="0"/>
              <w:bottom w:val="outset" w:color="000000" w:sz="6" w:space="0"/>
              <w:right w:val="outset" w:color="000000" w:sz="6" w:space="0"/>
            </w:tcBorders>
            <w:vAlign w:val="center"/>
          </w:tcPr>
          <w:p>
            <w:pPr>
              <w:pStyle w:val="5"/>
              <w:widowControl/>
              <w:spacing w:beforeAutospacing="0" w:afterAutospacing="0" w:line="33" w:lineRule="atLeast"/>
              <w:jc w:val="center"/>
              <w:rPr>
                <w:rFonts w:hint="eastAsia" w:ascii="宋体" w:hAnsi="宋体" w:eastAsia="宋体" w:cs="宋体"/>
                <w:kern w:val="2"/>
                <w:sz w:val="32"/>
                <w:szCs w:val="32"/>
                <w:highlight w:val="none"/>
                <w:lang w:val="en-US" w:eastAsia="zh-CN" w:bidi="ar-SA"/>
              </w:rPr>
            </w:pPr>
          </w:p>
        </w:tc>
      </w:tr>
    </w:tbl>
    <w:p>
      <w:pPr>
        <w:numPr>
          <w:ilvl w:val="0"/>
          <w:numId w:val="6"/>
        </w:numPr>
        <w:adjustRightInd w:val="0"/>
        <w:snapToGrid w:val="0"/>
        <w:spacing w:line="600" w:lineRule="exac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公务接待费</w:t>
      </w:r>
    </w:p>
    <w:p>
      <w:pPr>
        <w:numPr>
          <w:ilvl w:val="0"/>
          <w:numId w:val="0"/>
        </w:num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全年决算支出公务接待费1.55万元，较年初预算下降-44.6%；</w:t>
      </w:r>
    </w:p>
    <w:p>
      <w:pPr>
        <w:numPr>
          <w:ilvl w:val="0"/>
          <w:numId w:val="6"/>
        </w:numPr>
        <w:adjustRightInd w:val="0"/>
        <w:snapToGrid w:val="0"/>
        <w:spacing w:line="600" w:lineRule="exac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公务用车购置及运行维护费</w:t>
      </w:r>
    </w:p>
    <w:p>
      <w:pPr>
        <w:numPr>
          <w:ilvl w:val="0"/>
          <w:numId w:val="0"/>
        </w:num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2021年单位实有车辆1辆，其中公共预算财政拨款开支运行维护费的公务用车保有量为1辆。其中：</w:t>
      </w:r>
    </w:p>
    <w:p>
      <w:p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A.公务车运行维护费。2021年的公务车运行维护费为3万元，较年初预算增加1万元，增50%%，增支原因为2021年公务车老化需经常大修理。</w:t>
      </w:r>
    </w:p>
    <w:p>
      <w:p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B.公务用车购置费。2021年没有新增公务用车。</w:t>
      </w:r>
    </w:p>
    <w:p>
      <w:pPr>
        <w:adjustRightInd w:val="0"/>
        <w:snapToGrid w:val="0"/>
        <w:spacing w:line="600" w:lineRule="exact"/>
        <w:ind w:firstLine="640" w:firstLineChars="200"/>
        <w:rPr>
          <w:rFonts w:ascii="楷体_GB2312" w:hAnsi="Calibri" w:eastAsia="楷体_GB2312" w:cs="Times New Roman"/>
          <w:b/>
          <w:sz w:val="32"/>
          <w:szCs w:val="32"/>
        </w:rPr>
      </w:pPr>
      <w:r>
        <w:rPr>
          <w:rFonts w:hint="eastAsia" w:ascii="楷体_GB2312" w:hAnsi="Calibri" w:eastAsia="楷体_GB2312" w:cs="Times New Roman"/>
          <w:b/>
          <w:sz w:val="32"/>
          <w:szCs w:val="32"/>
        </w:rPr>
        <w:t>（二）</w:t>
      </w:r>
      <w:r>
        <w:rPr>
          <w:rFonts w:hint="eastAsia" w:ascii="楷体_GB2312" w:hAnsi="Calibri" w:eastAsia="楷体_GB2312" w:cs="Times New Roman"/>
          <w:b/>
          <w:sz w:val="32"/>
          <w:szCs w:val="32"/>
          <w:lang w:eastAsia="zh-CN"/>
        </w:rPr>
        <w:t>项目</w:t>
      </w:r>
      <w:r>
        <w:rPr>
          <w:rFonts w:hint="eastAsia" w:ascii="楷体_GB2312" w:hAnsi="Calibri" w:eastAsia="楷体_GB2312" w:cs="Times New Roman"/>
          <w:b/>
          <w:sz w:val="32"/>
          <w:szCs w:val="32"/>
        </w:rPr>
        <w:t>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项目支出是在基本支出之外为完成其特定的行政工作任务而发生的支出，主要用于一般行政管理事务、社会保障和就业支出、文化体育与传媒支出、节能环保支出、城乡社区支出、农林水支出、交通运输支出等其他行政管理事务支出。</w:t>
      </w:r>
    </w:p>
    <w:p>
      <w:pPr>
        <w:numPr>
          <w:ilvl w:val="0"/>
          <w:numId w:val="0"/>
        </w:numPr>
        <w:adjustRightInd w:val="0"/>
        <w:snapToGrid w:val="0"/>
        <w:spacing w:line="600" w:lineRule="exact"/>
        <w:ind w:firstLine="640" w:firstLineChars="200"/>
        <w:rPr>
          <w:rFonts w:ascii="Calibri" w:hAnsi="Calibri" w:eastAsia="黑体" w:cs="Times New Roman"/>
          <w:sz w:val="32"/>
          <w:szCs w:val="32"/>
          <w:highlight w:val="none"/>
        </w:rPr>
      </w:pPr>
      <w:r>
        <w:rPr>
          <w:rFonts w:hint="eastAsia" w:ascii="宋体" w:hAnsi="宋体" w:eastAsia="宋体" w:cs="宋体"/>
          <w:sz w:val="32"/>
          <w:szCs w:val="32"/>
          <w:highlight w:val="none"/>
          <w:lang w:val="en-US" w:eastAsia="zh-CN"/>
        </w:rPr>
        <w:t>2021年决算项目支出为0万元。</w:t>
      </w:r>
    </w:p>
    <w:p>
      <w:pPr>
        <w:numPr>
          <w:ilvl w:val="0"/>
          <w:numId w:val="7"/>
        </w:numPr>
        <w:adjustRightInd w:val="0"/>
        <w:snapToGrid w:val="0"/>
        <w:spacing w:line="600" w:lineRule="exact"/>
        <w:ind w:firstLine="640" w:firstLineChars="200"/>
        <w:rPr>
          <w:rFonts w:ascii="Calibri" w:hAnsi="Calibri" w:eastAsia="黑体" w:cs="Times New Roman"/>
          <w:sz w:val="32"/>
          <w:szCs w:val="32"/>
        </w:rPr>
      </w:pPr>
      <w:r>
        <w:rPr>
          <w:rFonts w:hint="eastAsia" w:ascii="Calibri" w:hAnsi="Calibri" w:eastAsia="黑体" w:cs="Times New Roman"/>
          <w:sz w:val="32"/>
          <w:szCs w:val="32"/>
        </w:rPr>
        <w:t>部门专项</w:t>
      </w:r>
      <w:r>
        <w:rPr>
          <w:rFonts w:ascii="Calibri" w:hAnsi="Calibri" w:eastAsia="黑体" w:cs="Times New Roman"/>
          <w:sz w:val="32"/>
          <w:szCs w:val="32"/>
        </w:rPr>
        <w:t>组织实施情况</w:t>
      </w:r>
    </w:p>
    <w:p>
      <w:pPr>
        <w:numPr>
          <w:ilvl w:val="0"/>
          <w:numId w:val="0"/>
        </w:num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项目招投标严格按照规章制度进行，项目事前、事中、事后均安排相关部门进行监督验收，资金保障到位，报账程序公开公正，需开展四议（即党支部提议、两委会商议、党员大会审议、村民代表会议或村民会议决议）两公示（决议公开、实施结果公开），提供立项资料、项目预算书、工程承包合同、工程验收单、项目支出结算明细表、工程实施前后同一地点对比照片、采购手续等等资料。</w:t>
      </w:r>
    </w:p>
    <w:p>
      <w:pPr>
        <w:adjustRightInd w:val="0"/>
        <w:snapToGrid w:val="0"/>
        <w:spacing w:line="600" w:lineRule="exact"/>
        <w:ind w:firstLine="640" w:firstLineChars="200"/>
        <w:rPr>
          <w:rFonts w:ascii="Calibri" w:hAnsi="Calibri" w:eastAsia="黑体" w:cs="Times New Roman"/>
          <w:sz w:val="32"/>
          <w:szCs w:val="32"/>
        </w:rPr>
      </w:pPr>
      <w:r>
        <w:rPr>
          <w:rFonts w:ascii="Calibri" w:hAnsi="Calibri" w:eastAsia="黑体" w:cs="Times New Roman"/>
          <w:sz w:val="32"/>
          <w:szCs w:val="32"/>
        </w:rPr>
        <w:t>四、</w:t>
      </w:r>
      <w:r>
        <w:rPr>
          <w:rFonts w:hint="eastAsia" w:ascii="Calibri" w:hAnsi="Calibri" w:eastAsia="黑体" w:cs="Times New Roman"/>
          <w:sz w:val="32"/>
          <w:szCs w:val="32"/>
        </w:rPr>
        <w:t>部门整体支出</w:t>
      </w:r>
      <w:r>
        <w:rPr>
          <w:rFonts w:ascii="Calibri" w:hAnsi="Calibri" w:eastAsia="黑体" w:cs="Times New Roman"/>
          <w:sz w:val="32"/>
          <w:szCs w:val="32"/>
        </w:rPr>
        <w:t>绩效情况</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w:t>
      </w:r>
      <w:r>
        <w:rPr>
          <w:rFonts w:hint="eastAsia" w:ascii="宋体" w:hAnsi="宋体" w:eastAsia="宋体" w:cs="宋体"/>
          <w:sz w:val="32"/>
          <w:szCs w:val="32"/>
          <w:lang w:val="en-US" w:eastAsia="zh-CN"/>
        </w:rPr>
        <w:t>2021</w:t>
      </w:r>
      <w:r>
        <w:rPr>
          <w:rFonts w:hint="eastAsia" w:ascii="宋体" w:hAnsi="宋体" w:eastAsia="宋体" w:cs="宋体"/>
          <w:sz w:val="32"/>
          <w:szCs w:val="32"/>
        </w:rPr>
        <w:t>年洞口县县级预算单位绩效评价工作方案》（洞财监[20</w:t>
      </w:r>
      <w:r>
        <w:rPr>
          <w:rFonts w:hint="eastAsia" w:ascii="宋体" w:hAnsi="宋体" w:eastAsia="宋体" w:cs="宋体"/>
          <w:sz w:val="32"/>
          <w:szCs w:val="32"/>
          <w:lang w:val="en-US" w:eastAsia="zh-CN"/>
        </w:rPr>
        <w:t>21</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号）文件，我单位成立了绩效评价工作领导小组，制定了《</w:t>
      </w:r>
      <w:r>
        <w:rPr>
          <w:rFonts w:hint="eastAsia" w:ascii="宋体" w:hAnsi="宋体" w:eastAsia="宋体" w:cs="宋体"/>
          <w:sz w:val="32"/>
          <w:szCs w:val="32"/>
          <w:lang w:val="en-US" w:eastAsia="zh-CN"/>
        </w:rPr>
        <w:t>2021</w:t>
      </w:r>
      <w:r>
        <w:rPr>
          <w:rFonts w:hint="eastAsia" w:ascii="宋体" w:hAnsi="宋体" w:eastAsia="宋体" w:cs="宋体"/>
          <w:sz w:val="32"/>
          <w:szCs w:val="32"/>
        </w:rPr>
        <w:t>年度财政资金绩效自评方案》，并依据方案组织开展绩效评价工作。评价小组采取座谈等方式听取情况，检查基本支出、项目支出有关账目，收集整理支出相关资料，对绩效自评材料进行分析，形成评价结论。</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三、部门整体支出绩效情况</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我单位在县委、县政府的领导下，坚持依法行政、执法为民、稳中求进、改革创新、积极作为，突出抓改革强监管促发展，各方面工作稳步推进，根据我单位制定的《部门整体支出绩效评价自评分值表》评分，得分92分，财政支出绩效为“良”。主要成绩如下：</w:t>
      </w:r>
    </w:p>
    <w:p>
      <w:p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（一）</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年完成</w:t>
      </w:r>
      <w:r>
        <w:rPr>
          <w:rFonts w:hint="eastAsia" w:ascii="宋体" w:hAnsi="宋体" w:eastAsia="宋体" w:cs="宋体"/>
          <w:sz w:val="32"/>
          <w:szCs w:val="32"/>
          <w:highlight w:val="none"/>
          <w:lang w:eastAsia="zh-CN"/>
        </w:rPr>
        <w:t>耕地占用税</w:t>
      </w:r>
      <w:r>
        <w:rPr>
          <w:rFonts w:hint="eastAsia" w:ascii="宋体" w:hAnsi="宋体" w:eastAsia="宋体" w:cs="宋体"/>
          <w:sz w:val="32"/>
          <w:szCs w:val="32"/>
          <w:highlight w:val="none"/>
          <w:lang w:val="en-US" w:eastAsia="zh-CN"/>
        </w:rPr>
        <w:t>41万元</w:t>
      </w:r>
      <w:r>
        <w:rPr>
          <w:rFonts w:hint="eastAsia" w:ascii="宋体" w:hAnsi="宋体" w:eastAsia="宋体" w:cs="宋体"/>
          <w:sz w:val="32"/>
          <w:szCs w:val="32"/>
          <w:highlight w:val="none"/>
        </w:rPr>
        <w:t>、国土清查收缴</w:t>
      </w:r>
      <w:r>
        <w:rPr>
          <w:rFonts w:hint="eastAsia" w:ascii="宋体" w:hAnsi="宋体" w:eastAsia="宋体" w:cs="宋体"/>
          <w:sz w:val="32"/>
          <w:szCs w:val="32"/>
          <w:highlight w:val="none"/>
          <w:lang w:val="en-US" w:eastAsia="zh-CN"/>
        </w:rPr>
        <w:t>119</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w:t>
      </w:r>
    </w:p>
    <w:p>
      <w:pPr>
        <w:numPr>
          <w:ilvl w:val="0"/>
          <w:numId w:val="8"/>
        </w:numPr>
        <w:adjustRightInd w:val="0"/>
        <w:snapToGrid w:val="0"/>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水东镇各类补贴及时发放。</w:t>
      </w:r>
    </w:p>
    <w:p>
      <w:pPr>
        <w:adjustRightInd w:val="0"/>
        <w:snapToGrid w:val="0"/>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2021年耕地力保护共5000户，发放金额为1455412元、种粮一次补贴共2593户，发放金额为222344元、稻谷补贴共2822户，发放金额为417077元，</w:t>
      </w:r>
      <w:r>
        <w:rPr>
          <w:rFonts w:hint="eastAsia" w:ascii="宋体" w:hAnsi="宋体" w:eastAsia="宋体" w:cs="宋体"/>
          <w:sz w:val="32"/>
          <w:szCs w:val="32"/>
          <w:highlight w:val="none"/>
        </w:rPr>
        <w:t>直接拨付至农户账上。</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2021年贫困生义务教育我镇共693户</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补助金额为</w:t>
      </w:r>
      <w:r>
        <w:rPr>
          <w:rFonts w:hint="eastAsia" w:ascii="宋体" w:hAnsi="宋体" w:eastAsia="宋体" w:cs="宋体"/>
          <w:sz w:val="32"/>
          <w:szCs w:val="32"/>
          <w:highlight w:val="none"/>
          <w:lang w:val="en-US" w:eastAsia="zh-CN"/>
        </w:rPr>
        <w:t>325375元，</w:t>
      </w:r>
      <w:r>
        <w:rPr>
          <w:rFonts w:hint="eastAsia" w:ascii="宋体" w:hAnsi="宋体" w:eastAsia="宋体" w:cs="宋体"/>
          <w:sz w:val="32"/>
          <w:szCs w:val="32"/>
          <w:highlight w:val="none"/>
        </w:rPr>
        <w:t>直接拨付至农户账上。</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（3）2021</w:t>
      </w:r>
      <w:r>
        <w:rPr>
          <w:rFonts w:hint="eastAsia" w:ascii="宋体" w:hAnsi="宋体" w:eastAsia="宋体" w:cs="宋体"/>
          <w:sz w:val="32"/>
          <w:szCs w:val="32"/>
          <w:highlight w:val="none"/>
        </w:rPr>
        <w:t>年共有低保户</w:t>
      </w:r>
      <w:r>
        <w:rPr>
          <w:rFonts w:hint="eastAsia" w:ascii="宋体" w:hAnsi="宋体" w:eastAsia="宋体" w:cs="宋体"/>
          <w:sz w:val="32"/>
          <w:szCs w:val="32"/>
          <w:highlight w:val="none"/>
          <w:lang w:val="en-US" w:eastAsia="zh-CN"/>
        </w:rPr>
        <w:t>943</w:t>
      </w:r>
      <w:r>
        <w:rPr>
          <w:rFonts w:hint="eastAsia" w:ascii="宋体" w:hAnsi="宋体" w:eastAsia="宋体" w:cs="宋体"/>
          <w:sz w:val="32"/>
          <w:szCs w:val="32"/>
          <w:highlight w:val="none"/>
        </w:rPr>
        <w:t>户，</w:t>
      </w:r>
      <w:r>
        <w:rPr>
          <w:rFonts w:hint="eastAsia" w:ascii="宋体" w:hAnsi="宋体" w:eastAsia="宋体" w:cs="宋体"/>
          <w:sz w:val="32"/>
          <w:szCs w:val="32"/>
          <w:highlight w:val="none"/>
          <w:lang w:eastAsia="zh-CN"/>
        </w:rPr>
        <w:t>发放补助金额为</w:t>
      </w:r>
      <w:r>
        <w:rPr>
          <w:rFonts w:hint="eastAsia" w:ascii="宋体" w:hAnsi="宋体" w:eastAsia="宋体" w:cs="宋体"/>
          <w:sz w:val="32"/>
          <w:szCs w:val="32"/>
          <w:highlight w:val="none"/>
          <w:lang w:val="en-US" w:eastAsia="zh-CN"/>
        </w:rPr>
        <w:t>235830元，</w:t>
      </w:r>
      <w:r>
        <w:rPr>
          <w:rFonts w:hint="eastAsia" w:ascii="宋体" w:hAnsi="宋体" w:eastAsia="宋体" w:cs="宋体"/>
          <w:sz w:val="32"/>
          <w:szCs w:val="32"/>
          <w:highlight w:val="none"/>
        </w:rPr>
        <w:t>直接拨付至农户账上。</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三</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年镇政府高度重视校车安全，多次开展校车安全检查，“安全校园”创建活动。</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四</w:t>
      </w:r>
      <w:r>
        <w:rPr>
          <w:rFonts w:hint="eastAsia" w:ascii="宋体" w:hAnsi="宋体" w:eastAsia="宋体" w:cs="宋体"/>
          <w:sz w:val="32"/>
          <w:szCs w:val="32"/>
          <w:highlight w:val="none"/>
        </w:rPr>
        <w:t>）积极开展文明创建工作，全年</w:t>
      </w:r>
      <w:r>
        <w:rPr>
          <w:rFonts w:hint="eastAsia" w:ascii="宋体" w:hAnsi="宋体" w:eastAsia="宋体" w:cs="宋体"/>
          <w:sz w:val="32"/>
          <w:szCs w:val="32"/>
          <w:highlight w:val="none"/>
          <w:lang w:eastAsia="zh-CN"/>
        </w:rPr>
        <w:t>积极学习习近平新时代中国特色社会主义新思想</w:t>
      </w:r>
      <w:r>
        <w:rPr>
          <w:rFonts w:hint="eastAsia" w:ascii="宋体" w:hAnsi="宋体" w:eastAsia="宋体" w:cs="宋体"/>
          <w:sz w:val="32"/>
          <w:szCs w:val="32"/>
          <w:highlight w:val="none"/>
        </w:rPr>
        <w:t>，学习先进事迹；各村干部利用农闲时机进村入户，发放道德、文化宣传单1000余张，张贴禁毒禁赌、宣传海报300余张、横幅20余幅</w:t>
      </w:r>
      <w:r>
        <w:rPr>
          <w:rFonts w:hint="eastAsia" w:ascii="宋体" w:hAnsi="宋体" w:eastAsia="宋体" w:cs="宋体"/>
          <w:sz w:val="32"/>
          <w:szCs w:val="32"/>
          <w:highlight w:val="none"/>
          <w:lang w:eastAsia="zh-CN"/>
        </w:rPr>
        <w:t>，全镇开展“支部</w:t>
      </w:r>
      <w:r>
        <w:rPr>
          <w:rFonts w:hint="eastAsia" w:ascii="宋体" w:hAnsi="宋体" w:eastAsia="宋体" w:cs="宋体"/>
          <w:sz w:val="32"/>
          <w:szCs w:val="32"/>
          <w:highlight w:val="none"/>
          <w:lang w:val="en-US" w:eastAsia="zh-CN"/>
        </w:rPr>
        <w:t>+协会</w:t>
      </w:r>
      <w:r>
        <w:rPr>
          <w:rFonts w:hint="eastAsia" w:ascii="宋体" w:hAnsi="宋体" w:eastAsia="宋体" w:cs="宋体"/>
          <w:sz w:val="32"/>
          <w:szCs w:val="32"/>
          <w:highlight w:val="none"/>
          <w:lang w:eastAsia="zh-CN"/>
        </w:rPr>
        <w:t>”，各村都设立禁毒禁赌等便民协会，大力开展我为群众办实事活动</w:t>
      </w:r>
      <w:r>
        <w:rPr>
          <w:rFonts w:hint="eastAsia" w:ascii="宋体" w:hAnsi="宋体" w:eastAsia="宋体" w:cs="宋体"/>
          <w:sz w:val="32"/>
          <w:szCs w:val="32"/>
          <w:highlight w:val="none"/>
        </w:rPr>
        <w:t>。</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年开展群众性活动</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次，分别是组建广场舞队、开展支教文艺表演活动、“六一”儿童节汇演、组建民俗文化表演队、“送戏下乡”活动、水东镇“3.8”妇女节</w:t>
      </w:r>
      <w:r>
        <w:rPr>
          <w:rFonts w:hint="eastAsia" w:ascii="宋体" w:hAnsi="宋体" w:eastAsia="宋体" w:cs="宋体"/>
          <w:sz w:val="32"/>
          <w:szCs w:val="32"/>
          <w:highlight w:val="none"/>
          <w:lang w:eastAsia="zh-CN"/>
        </w:rPr>
        <w:t>慰问活动</w:t>
      </w:r>
      <w:r>
        <w:rPr>
          <w:rFonts w:hint="eastAsia" w:ascii="宋体" w:hAnsi="宋体" w:eastAsia="宋体" w:cs="宋体"/>
          <w:sz w:val="32"/>
          <w:szCs w:val="32"/>
          <w:highlight w:val="none"/>
        </w:rPr>
        <w:t>等。</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eastAsia="zh-CN"/>
        </w:rPr>
        <w:t>水东镇市场化保洁服务管理，拨付到锋勇保洁公司保洁员劳务费共</w:t>
      </w:r>
      <w:r>
        <w:rPr>
          <w:rFonts w:hint="eastAsia" w:ascii="宋体" w:hAnsi="宋体" w:eastAsia="宋体" w:cs="宋体"/>
          <w:sz w:val="32"/>
          <w:szCs w:val="32"/>
          <w:highlight w:val="none"/>
          <w:lang w:val="en-US" w:eastAsia="zh-CN"/>
        </w:rPr>
        <w:t>34.75万元，农村保洁员工资全年22万元</w:t>
      </w:r>
      <w:r>
        <w:rPr>
          <w:rFonts w:hint="eastAsia" w:ascii="宋体" w:hAnsi="宋体" w:eastAsia="宋体" w:cs="宋体"/>
          <w:sz w:val="32"/>
          <w:szCs w:val="32"/>
          <w:highlight w:val="none"/>
        </w:rPr>
        <w:t>。与街道各户签订“门前三包”责任书，发放城乡环境宣传标语余份；每个村悬挂宣传横幅</w:t>
      </w:r>
      <w:r>
        <w:rPr>
          <w:rFonts w:hint="eastAsia" w:ascii="宋体" w:hAnsi="宋体" w:eastAsia="宋体" w:cs="宋体"/>
          <w:sz w:val="32"/>
          <w:szCs w:val="32"/>
          <w:highlight w:val="none"/>
          <w:lang w:eastAsia="zh-CN"/>
        </w:rPr>
        <w:t>多幅</w:t>
      </w:r>
      <w:r>
        <w:rPr>
          <w:rFonts w:hint="eastAsia" w:ascii="宋体" w:hAnsi="宋体" w:eastAsia="宋体" w:cs="宋体"/>
          <w:sz w:val="32"/>
          <w:szCs w:val="32"/>
          <w:highlight w:val="none"/>
        </w:rPr>
        <w:t>。</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年我镇为防止非正常赴省进京上访，成立镇应急分队，全年分时段、重点区域进行巡逻，增加群众的安全感，调处各类矛盾纠纷，处理重大疑难群体性事件，维护我镇社会经济稳定，人民安居乐业。</w:t>
      </w:r>
    </w:p>
    <w:p>
      <w:pPr>
        <w:adjustRightInd w:val="0"/>
        <w:snapToGrid w:val="0"/>
        <w:spacing w:line="600" w:lineRule="exact"/>
        <w:ind w:firstLine="320" w:firstLineChars="100"/>
        <w:rPr>
          <w:rFonts w:hint="eastAsia" w:ascii="宋体" w:hAnsi="宋体" w:eastAsia="宋体" w:cs="宋体"/>
          <w:sz w:val="32"/>
          <w:szCs w:val="32"/>
          <w:highlight w:val="none"/>
        </w:rPr>
      </w:pP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八</w:t>
      </w:r>
      <w:r>
        <w:rPr>
          <w:rFonts w:hint="eastAsia" w:ascii="宋体" w:hAnsi="宋体" w:eastAsia="宋体" w:cs="宋体"/>
          <w:sz w:val="32"/>
          <w:szCs w:val="32"/>
          <w:highlight w:val="none"/>
        </w:rPr>
        <w:t>）（1）安全生产。一是安全责任加强落实，与7个村委会及相关单位签订了《安全生产责任状》和《交通安全管理责任状》及《水上交通管理责任状》，加强安全责任的量化考核。二是强化对化学危险品的专项整治。根据《危险化学品安全管理条例》要求，每月镇案件工作人员对易燃易爆危险品储存仓库进行巡查，并宣传安全知识，杜绝了安全事故的发生。三是对人员密集场所开展消防安全整治工作，严格整治乱拉电线等违规行为，落实安全预算措施。四是对烟花爆竹进行安全整治，对无证经营和走私经营点进行严厉打击。五是开展安全生产大检查</w:t>
      </w:r>
      <w:r>
        <w:rPr>
          <w:rFonts w:hint="eastAsia" w:ascii="宋体" w:hAnsi="宋体" w:eastAsia="宋体" w:cs="宋体"/>
          <w:sz w:val="32"/>
          <w:szCs w:val="32"/>
          <w:highlight w:val="none"/>
          <w:lang w:eastAsia="zh-CN"/>
        </w:rPr>
        <w:t>，对违法建筑进行集中拆除，对水东大正街进行了棚户区改造，拆除大正街马路沿线商户雨棚等违章建筑</w:t>
      </w:r>
      <w:r>
        <w:rPr>
          <w:rFonts w:hint="eastAsia" w:ascii="宋体" w:hAnsi="宋体" w:eastAsia="宋体" w:cs="宋体"/>
          <w:sz w:val="32"/>
          <w:szCs w:val="32"/>
          <w:highlight w:val="none"/>
          <w:lang w:val="en-US" w:eastAsia="zh-CN"/>
        </w:rPr>
        <w:t>200余处</w:t>
      </w:r>
      <w:r>
        <w:rPr>
          <w:rFonts w:hint="eastAsia" w:ascii="宋体" w:hAnsi="宋体" w:eastAsia="宋体" w:cs="宋体"/>
          <w:sz w:val="32"/>
          <w:szCs w:val="32"/>
          <w:highlight w:val="none"/>
        </w:rPr>
        <w:t>。</w:t>
      </w:r>
    </w:p>
    <w:p>
      <w:pPr>
        <w:adjustRightInd w:val="0"/>
        <w:snapToGrid w:val="0"/>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（2）防汛抗旱。健全防汛制度，签订地质灾害责任书，分工明确，责任明晰，完善防汛预案、信息沟通机制，确保及时有效地发布和更新防汛信息，以确保安全度汛。</w:t>
      </w:r>
      <w:r>
        <w:rPr>
          <w:rFonts w:hint="eastAsia" w:ascii="宋体" w:hAnsi="宋体" w:eastAsia="宋体" w:cs="宋体"/>
          <w:sz w:val="32"/>
          <w:szCs w:val="32"/>
          <w:highlight w:val="none"/>
          <w:lang w:eastAsia="zh-CN"/>
        </w:rPr>
        <w:t>开展防汛抗旱演练两次，</w:t>
      </w:r>
      <w:r>
        <w:rPr>
          <w:rFonts w:hint="eastAsia" w:ascii="宋体" w:hAnsi="宋体" w:eastAsia="宋体" w:cs="宋体"/>
          <w:sz w:val="32"/>
          <w:szCs w:val="32"/>
          <w:highlight w:val="none"/>
        </w:rPr>
        <w:t>做好防汛值班到岗到位并做好值班记录，及时汇报防汛值班情况。</w:t>
      </w:r>
      <w:r>
        <w:rPr>
          <w:rFonts w:hint="eastAsia" w:ascii="宋体" w:hAnsi="宋体" w:eastAsia="宋体" w:cs="宋体"/>
          <w:sz w:val="32"/>
          <w:szCs w:val="32"/>
          <w:highlight w:val="none"/>
          <w:lang w:eastAsia="zh-CN"/>
        </w:rPr>
        <w:t>大型水库设立领导班子巡视，每个月进行签到。</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highlight w:val="none"/>
        </w:rPr>
        <w:t>（八）基层组织建设。（1）正常开展“三会一课”活动；（2）</w:t>
      </w:r>
      <w:r>
        <w:rPr>
          <w:rFonts w:hint="eastAsia" w:ascii="宋体" w:hAnsi="宋体" w:eastAsia="宋体" w:cs="宋体"/>
          <w:sz w:val="32"/>
          <w:szCs w:val="32"/>
          <w:highlight w:val="none"/>
          <w:lang w:val="en-US" w:eastAsia="zh-CN"/>
        </w:rPr>
        <w:t>2021</w:t>
      </w:r>
      <w:r>
        <w:rPr>
          <w:rFonts w:hint="eastAsia" w:ascii="宋体" w:hAnsi="宋体" w:eastAsia="宋体" w:cs="宋体"/>
          <w:sz w:val="32"/>
          <w:szCs w:val="32"/>
          <w:highlight w:val="none"/>
        </w:rPr>
        <w:t>年完成全乡镇10个党支部党费收缴工作；（3）7个行政村及相关单位完成远程教育接收站点检修工作，各个村均配备了电脑和相关接收设备，每个月都有远程培训专题课程安排，并由专门人员担任远程教育操作员，利用远程教育不定期对党员群众进行农业科学技术培训；（4）完成“阳光三农网”建设扩大党务、政务公开；（5）重视村干部队伍建设，开展村干部培训4次；（6）落实</w:t>
      </w:r>
      <w:r>
        <w:rPr>
          <w:rFonts w:hint="eastAsia" w:ascii="宋体" w:hAnsi="宋体" w:eastAsia="宋体" w:cs="宋体"/>
          <w:sz w:val="32"/>
          <w:szCs w:val="32"/>
          <w:highlight w:val="none"/>
          <w:lang w:eastAsia="zh-CN"/>
        </w:rPr>
        <w:t>党委理论中心组</w:t>
      </w:r>
      <w:r>
        <w:rPr>
          <w:rFonts w:hint="eastAsia" w:ascii="宋体" w:hAnsi="宋体" w:eastAsia="宋体" w:cs="宋体"/>
          <w:sz w:val="32"/>
          <w:szCs w:val="32"/>
          <w:highlight w:val="none"/>
        </w:rPr>
        <w:t>学习制度</w:t>
      </w:r>
      <w:r>
        <w:rPr>
          <w:rFonts w:hint="eastAsia" w:ascii="宋体" w:hAnsi="宋体" w:eastAsia="宋体" w:cs="宋体"/>
          <w:sz w:val="32"/>
          <w:szCs w:val="32"/>
          <w:highlight w:val="none"/>
          <w:lang w:eastAsia="zh-CN"/>
        </w:rPr>
        <w:t>，不定期开展集中扩大学习</w:t>
      </w:r>
      <w:r>
        <w:rPr>
          <w:rFonts w:hint="eastAsia" w:ascii="宋体" w:hAnsi="宋体" w:eastAsia="宋体" w:cs="宋体"/>
          <w:sz w:val="32"/>
          <w:szCs w:val="32"/>
          <w:highlight w:val="none"/>
        </w:rPr>
        <w:t>。</w:t>
      </w:r>
    </w:p>
    <w:p>
      <w:pPr>
        <w:adjustRightInd w:val="0"/>
        <w:snapToGrid w:val="0"/>
        <w:spacing w:line="600" w:lineRule="exact"/>
        <w:ind w:firstLine="640" w:firstLineChars="200"/>
        <w:rPr>
          <w:rFonts w:hint="eastAsia" w:ascii="黑体" w:hAnsi="Calibri" w:eastAsia="黑体" w:cs="Times New Roman"/>
          <w:sz w:val="32"/>
          <w:szCs w:val="32"/>
        </w:rPr>
      </w:pPr>
      <w:r>
        <w:rPr>
          <w:rFonts w:hint="eastAsia" w:ascii="黑体" w:hAnsi="Calibri" w:eastAsia="黑体" w:cs="Times New Roman"/>
          <w:sz w:val="32"/>
          <w:szCs w:val="32"/>
        </w:rPr>
        <w:t>四、存在的主要问题</w:t>
      </w:r>
    </w:p>
    <w:p>
      <w:pPr>
        <w:adjustRightInd w:val="0"/>
        <w:snapToGrid w:val="0"/>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（一）预算执行</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根据本次预算评价情况，存在预算绩效申报时，编制的绩效目标不具体，绩效目标未完全细化分解为具体工作任务，部分绩效指标不清晰、可衡量性差。</w:t>
      </w:r>
    </w:p>
    <w:p>
      <w:pPr>
        <w:adjustRightInd w:val="0"/>
        <w:snapToGrid w:val="0"/>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（二）内部管理</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我镇有在职人员</w:t>
      </w:r>
      <w:r>
        <w:rPr>
          <w:rFonts w:hint="eastAsia" w:ascii="宋体" w:hAnsi="宋体" w:eastAsia="宋体" w:cs="宋体"/>
          <w:sz w:val="32"/>
          <w:szCs w:val="32"/>
          <w:highlight w:val="none"/>
          <w:lang w:val="en-US" w:eastAsia="zh-CN"/>
        </w:rPr>
        <w:t>59</w:t>
      </w:r>
      <w:r>
        <w:rPr>
          <w:rFonts w:hint="eastAsia" w:ascii="宋体" w:hAnsi="宋体" w:eastAsia="宋体" w:cs="宋体"/>
          <w:sz w:val="32"/>
          <w:szCs w:val="32"/>
          <w:highlight w:val="none"/>
        </w:rPr>
        <w:t>人，由于各项工作</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人员不足使得不相容岗位混合在一起，未单独设立审计机构</w:t>
      </w:r>
      <w:r>
        <w:rPr>
          <w:rFonts w:hint="eastAsia" w:ascii="宋体" w:hAnsi="宋体" w:eastAsia="宋体" w:cs="宋体"/>
          <w:sz w:val="32"/>
          <w:szCs w:val="32"/>
          <w:highlight w:val="none"/>
          <w:lang w:eastAsia="zh-CN"/>
        </w:rPr>
        <w:t>，且财政人员短缺。</w:t>
      </w:r>
    </w:p>
    <w:p>
      <w:pPr>
        <w:adjustRightInd w:val="0"/>
        <w:snapToGrid w:val="0"/>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（三）经费保障</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我镇环卫整治压力大、所需资金较多，工作办公费、印刷费开支较大，</w:t>
      </w:r>
      <w:r>
        <w:rPr>
          <w:rFonts w:hint="eastAsia" w:ascii="宋体" w:hAnsi="宋体" w:eastAsia="宋体" w:cs="宋体"/>
          <w:sz w:val="32"/>
          <w:szCs w:val="32"/>
          <w:highlight w:val="none"/>
          <w:lang w:eastAsia="zh-CN"/>
        </w:rPr>
        <w:t>工作设施陈旧不堪，维修费用、使用成本高，</w:t>
      </w:r>
      <w:r>
        <w:rPr>
          <w:rFonts w:hint="eastAsia" w:ascii="宋体" w:hAnsi="宋体" w:eastAsia="宋体" w:cs="宋体"/>
          <w:sz w:val="32"/>
          <w:szCs w:val="32"/>
          <w:highlight w:val="none"/>
        </w:rPr>
        <w:t>使公用经费超出年初预算，而上级财政拨款无法保障环卫、</w:t>
      </w:r>
      <w:r>
        <w:rPr>
          <w:rFonts w:hint="eastAsia" w:ascii="宋体" w:hAnsi="宋体" w:eastAsia="宋体" w:cs="宋体"/>
          <w:sz w:val="32"/>
          <w:szCs w:val="32"/>
          <w:highlight w:val="none"/>
          <w:lang w:eastAsia="zh-CN"/>
        </w:rPr>
        <w:t>办公</w:t>
      </w:r>
      <w:r>
        <w:rPr>
          <w:rFonts w:hint="eastAsia" w:ascii="宋体" w:hAnsi="宋体" w:eastAsia="宋体" w:cs="宋体"/>
          <w:sz w:val="32"/>
          <w:szCs w:val="32"/>
          <w:highlight w:val="none"/>
        </w:rPr>
        <w:t>开支需求。</w:t>
      </w:r>
    </w:p>
    <w:p>
      <w:pPr>
        <w:adjustRightInd w:val="0"/>
        <w:snapToGrid w:val="0"/>
        <w:spacing w:line="600" w:lineRule="exact"/>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（四）其他</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产业扶持难度大。因在家农作收入不高，全镇大部分青壮年劳动力都外出务工，留守在家的大多是不识字的老年人和正在读书的孩童，这对特色产业的发展增加了难度。</w:t>
      </w:r>
    </w:p>
    <w:p>
      <w:pPr>
        <w:adjustRightInd w:val="0"/>
        <w:snapToGrid w:val="0"/>
        <w:spacing w:line="600" w:lineRule="exact"/>
        <w:ind w:firstLine="640" w:firstLineChars="200"/>
        <w:rPr>
          <w:rFonts w:ascii="Calibri" w:hAnsi="Calibri" w:eastAsia="黑体" w:cs="Times New Roman"/>
          <w:sz w:val="32"/>
          <w:szCs w:val="32"/>
        </w:rPr>
      </w:pPr>
      <w:r>
        <w:rPr>
          <w:rFonts w:ascii="Calibri" w:hAnsi="Calibri" w:eastAsia="黑体" w:cs="Times New Roman"/>
          <w:sz w:val="32"/>
          <w:szCs w:val="32"/>
        </w:rPr>
        <w:t>五、</w:t>
      </w:r>
      <w:r>
        <w:rPr>
          <w:rFonts w:hint="eastAsia" w:ascii="Calibri" w:hAnsi="Calibri" w:eastAsia="黑体" w:cs="Times New Roman"/>
          <w:sz w:val="32"/>
          <w:szCs w:val="32"/>
        </w:rPr>
        <w:t>改进措施和有关建议</w:t>
      </w:r>
    </w:p>
    <w:p>
      <w:pPr>
        <w:spacing w:line="54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（一）请财政根据环卫、</w:t>
      </w:r>
      <w:r>
        <w:rPr>
          <w:rFonts w:hint="eastAsia" w:ascii="宋体" w:hAnsi="宋体" w:eastAsia="宋体" w:cs="宋体"/>
          <w:sz w:val="32"/>
          <w:szCs w:val="32"/>
          <w:lang w:eastAsia="zh-CN"/>
        </w:rPr>
        <w:t>乡村振兴</w:t>
      </w:r>
      <w:r>
        <w:rPr>
          <w:rFonts w:hint="eastAsia" w:ascii="宋体" w:hAnsi="宋体" w:eastAsia="宋体" w:cs="宋体"/>
          <w:sz w:val="32"/>
          <w:szCs w:val="32"/>
        </w:rPr>
        <w:t>等工作的实际情况，提高年初部门预算额度。</w:t>
      </w:r>
    </w:p>
    <w:p>
      <w:pPr>
        <w:spacing w:line="54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（二）进一步规范绩效目标编制。在编制项目资金绩效目标时要求指向明确、细化量化、合理可行、相应匹配。</w:t>
      </w:r>
    </w:p>
    <w:p>
      <w:pPr>
        <w:spacing w:line="54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（三）规范账务处理，提高财务信息质量。严格按照《会计法》、《行政单位会计制度》、《行政单位财务规则》等规定，结合实际情况，科学设置支出科目，规范财务核算，完整披露相关信息</w:t>
      </w:r>
      <w:r>
        <w:rPr>
          <w:rFonts w:hint="eastAsia" w:ascii="宋体" w:hAnsi="宋体" w:eastAsia="宋体" w:cs="宋体"/>
          <w:sz w:val="32"/>
          <w:szCs w:val="32"/>
          <w:lang w:eastAsia="zh-CN"/>
        </w:rPr>
        <w:t>，加强人员管理，合理规划与分配</w:t>
      </w:r>
      <w:r>
        <w:rPr>
          <w:rFonts w:hint="eastAsia" w:ascii="宋体" w:hAnsi="宋体" w:eastAsia="宋体" w:cs="宋体"/>
          <w:sz w:val="32"/>
          <w:szCs w:val="32"/>
        </w:rPr>
        <w:t>。</w:t>
      </w:r>
    </w:p>
    <w:p>
      <w:pPr>
        <w:spacing w:line="54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洞口县水东镇人民政府</w:t>
      </w:r>
    </w:p>
    <w:p>
      <w:pPr>
        <w:spacing w:line="540" w:lineRule="exact"/>
        <w:ind w:firstLine="640" w:firstLineChars="200"/>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年6月</w:t>
      </w:r>
      <w:r>
        <w:rPr>
          <w:rFonts w:hint="eastAsia" w:ascii="宋体" w:hAnsi="宋体" w:eastAsia="宋体" w:cs="宋体"/>
          <w:sz w:val="32"/>
          <w:szCs w:val="32"/>
          <w:lang w:val="en-US" w:eastAsia="zh-CN"/>
        </w:rPr>
        <w:t>8</w:t>
      </w:r>
      <w:r>
        <w:rPr>
          <w:rFonts w:hint="eastAsia" w:ascii="宋体" w:hAnsi="宋体" w:eastAsia="宋体" w:cs="宋体"/>
          <w:sz w:val="32"/>
          <w:szCs w:val="32"/>
        </w:rPr>
        <w:t>日</w:t>
      </w:r>
    </w:p>
    <w:p>
      <w:pPr>
        <w:rPr>
          <w:rFonts w:hint="eastAsia" w:ascii="黑体" w:hAnsi="黑体" w:eastAsia="黑体"/>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27AF1"/>
    <w:multiLevelType w:val="singleLevel"/>
    <w:tmpl w:val="AE027AF1"/>
    <w:lvl w:ilvl="0" w:tentative="0">
      <w:start w:val="10"/>
      <w:numFmt w:val="chineseCounting"/>
      <w:suff w:val="nothing"/>
      <w:lvlText w:val="%1、"/>
      <w:lvlJc w:val="left"/>
      <w:rPr>
        <w:rFonts w:hint="eastAsia"/>
      </w:rPr>
    </w:lvl>
  </w:abstractNum>
  <w:abstractNum w:abstractNumId="1">
    <w:nsid w:val="089AFA0C"/>
    <w:multiLevelType w:val="singleLevel"/>
    <w:tmpl w:val="089AFA0C"/>
    <w:lvl w:ilvl="0" w:tentative="0">
      <w:start w:val="2"/>
      <w:numFmt w:val="chineseCounting"/>
      <w:suff w:val="nothing"/>
      <w:lvlText w:val="（%1）"/>
      <w:lvlJc w:val="left"/>
      <w:rPr>
        <w:rFonts w:hint="eastAsia"/>
      </w:rPr>
    </w:lvl>
  </w:abstractNum>
  <w:abstractNum w:abstractNumId="2">
    <w:nsid w:val="1AB0EDDD"/>
    <w:multiLevelType w:val="singleLevel"/>
    <w:tmpl w:val="1AB0EDDD"/>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E8F648"/>
    <w:multiLevelType w:val="singleLevel"/>
    <w:tmpl w:val="5EE8F648"/>
    <w:lvl w:ilvl="0" w:tentative="0">
      <w:start w:val="12"/>
      <w:numFmt w:val="decimal"/>
      <w:suff w:val="nothing"/>
      <w:lvlText w:val="%1、"/>
      <w:lvlJc w:val="left"/>
    </w:lvl>
  </w:abstractNum>
  <w:abstractNum w:abstractNumId="5">
    <w:nsid w:val="60B9BF46"/>
    <w:multiLevelType w:val="singleLevel"/>
    <w:tmpl w:val="60B9BF46"/>
    <w:lvl w:ilvl="0" w:tentative="0">
      <w:start w:val="2"/>
      <w:numFmt w:val="decimal"/>
      <w:suff w:val="nothing"/>
      <w:lvlText w:val="（%1）"/>
      <w:lvlJc w:val="left"/>
      <w:pPr>
        <w:ind w:left="158"/>
      </w:pPr>
    </w:lvl>
  </w:abstractNum>
  <w:abstractNum w:abstractNumId="6">
    <w:nsid w:val="60B9C05F"/>
    <w:multiLevelType w:val="singleLevel"/>
    <w:tmpl w:val="60B9C05F"/>
    <w:lvl w:ilvl="0" w:tentative="0">
      <w:start w:val="1"/>
      <w:numFmt w:val="decimal"/>
      <w:suff w:val="nothing"/>
      <w:lvlText w:val="%1、"/>
      <w:lvlJc w:val="left"/>
    </w:lvl>
  </w:abstractNum>
  <w:abstractNum w:abstractNumId="7">
    <w:nsid w:val="60B9E5D8"/>
    <w:multiLevelType w:val="singleLevel"/>
    <w:tmpl w:val="60B9E5D8"/>
    <w:lvl w:ilvl="0" w:tentative="0">
      <w:start w:val="3"/>
      <w:numFmt w:val="chineseCounting"/>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Dg2NjI3MDgzYmFjMGY3N2Y5ZTUwNWRhOWNkMD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A1A62"/>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575B5"/>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96826"/>
    <w:rsid w:val="008A3E8D"/>
    <w:rsid w:val="008E437E"/>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B297F"/>
    <w:rsid w:val="00F74360"/>
    <w:rsid w:val="00FB462F"/>
    <w:rsid w:val="00FE16FA"/>
    <w:rsid w:val="00FE328A"/>
    <w:rsid w:val="00FE6269"/>
    <w:rsid w:val="00FF5CD6"/>
    <w:rsid w:val="013C1633"/>
    <w:rsid w:val="02F3397B"/>
    <w:rsid w:val="04DA766A"/>
    <w:rsid w:val="0D7D046C"/>
    <w:rsid w:val="0ECF4285"/>
    <w:rsid w:val="14395A4F"/>
    <w:rsid w:val="17157E90"/>
    <w:rsid w:val="18D3242F"/>
    <w:rsid w:val="1B7632D1"/>
    <w:rsid w:val="24811338"/>
    <w:rsid w:val="2A0D7AB9"/>
    <w:rsid w:val="2C7B0BF5"/>
    <w:rsid w:val="2F9B3C63"/>
    <w:rsid w:val="2FEA01B6"/>
    <w:rsid w:val="3D646ACD"/>
    <w:rsid w:val="40245707"/>
    <w:rsid w:val="42D71781"/>
    <w:rsid w:val="44BB5EC9"/>
    <w:rsid w:val="48742320"/>
    <w:rsid w:val="4E0F47BC"/>
    <w:rsid w:val="50A239EA"/>
    <w:rsid w:val="577348C7"/>
    <w:rsid w:val="58497F9E"/>
    <w:rsid w:val="639C5739"/>
    <w:rsid w:val="6D796390"/>
    <w:rsid w:val="705C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739B6-A064-4E7D-9B61-F0DA1D6A16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10466</Words>
  <Characters>14126</Characters>
  <Lines>83</Lines>
  <Paragraphs>23</Paragraphs>
  <TotalTime>0</TotalTime>
  <ScaleCrop>false</ScaleCrop>
  <LinksUpToDate>false</LinksUpToDate>
  <CharactersWithSpaces>14511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2022-08-21T02:21:00Z</dcterms:created>
  <dc:creator>李航 null</dc:creator>
  <cp:lastModifiedBy>jxdn</cp:lastModifiedBy>
  <cp:lastPrinted>2022-07-27T12:55:00Z</cp:lastPrinted>
  <dcterms:modified xsi:type="dcterms:W3CDTF">2022-08-25T07:30:16Z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CD3683E1815B4844B0F262F5519D2908</vt:lpwstr>
  </property>
</Properties>
</file>