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kern w:val="1"/>
          <w:sz w:val="44"/>
          <w:szCs w:val="44"/>
        </w:rPr>
      </w:pPr>
      <w:r>
        <w:rPr>
          <w:rFonts w:hint="eastAsia" w:ascii="黑体" w:hAnsi="黑体" w:eastAsia="黑体" w:cs="黑体"/>
          <w:kern w:val="1"/>
          <w:sz w:val="44"/>
          <w:szCs w:val="44"/>
        </w:rPr>
        <w:t>洞口县企业养老保险站</w:t>
      </w:r>
    </w:p>
    <w:p>
      <w:pPr>
        <w:jc w:val="center"/>
        <w:rPr>
          <w:rFonts w:ascii="黑体" w:hAnsi="黑体" w:eastAsia="黑体" w:cs="Times New Roman"/>
          <w:kern w:val="1"/>
          <w:sz w:val="44"/>
          <w:szCs w:val="44"/>
        </w:rPr>
      </w:pPr>
      <w:r>
        <w:rPr>
          <w:rFonts w:ascii="黑体" w:hAnsi="黑体" w:eastAsia="黑体" w:cs="黑体"/>
          <w:kern w:val="1"/>
          <w:sz w:val="44"/>
          <w:szCs w:val="44"/>
        </w:rPr>
        <w:t>2019</w:t>
      </w:r>
      <w:r>
        <w:rPr>
          <w:rFonts w:hint="eastAsia" w:ascii="黑体" w:hAnsi="黑体" w:eastAsia="黑体" w:cs="黑体"/>
          <w:kern w:val="1"/>
          <w:sz w:val="44"/>
          <w:szCs w:val="44"/>
        </w:rPr>
        <w:t>年部门决算说明</w:t>
      </w:r>
    </w:p>
    <w:p>
      <w:pPr>
        <w:rPr>
          <w:sz w:val="30"/>
          <w:szCs w:val="30"/>
        </w:rPr>
      </w:pPr>
      <w:r>
        <w:rPr>
          <w:sz w:val="30"/>
          <w:szCs w:val="30"/>
        </w:rPr>
        <w:t xml:space="preserve">                           </w:t>
      </w:r>
    </w:p>
    <w:p>
      <w:pPr>
        <w:rPr>
          <w:sz w:val="30"/>
          <w:szCs w:val="30"/>
        </w:rPr>
      </w:pPr>
      <w:r>
        <w:rPr>
          <w:sz w:val="30"/>
          <w:szCs w:val="30"/>
        </w:rPr>
        <w:t xml:space="preserve">                           </w:t>
      </w:r>
    </w:p>
    <w:p>
      <w:pPr>
        <w:jc w:val="center"/>
        <w:rPr>
          <w:rFonts w:cs="Times New Roman"/>
          <w:b/>
          <w:bCs/>
          <w:sz w:val="28"/>
          <w:szCs w:val="28"/>
        </w:rPr>
      </w:pPr>
      <w:r>
        <w:rPr>
          <w:rFonts w:hint="eastAsia" w:cs="宋体"/>
          <w:b/>
          <w:bCs/>
          <w:sz w:val="28"/>
          <w:szCs w:val="28"/>
        </w:rPr>
        <w:t>目</w:t>
      </w:r>
      <w:r>
        <w:rPr>
          <w:b/>
          <w:bCs/>
          <w:sz w:val="28"/>
          <w:szCs w:val="28"/>
        </w:rPr>
        <w:t xml:space="preserve"> </w:t>
      </w:r>
      <w:r>
        <w:rPr>
          <w:rFonts w:hint="eastAsia" w:cs="宋体"/>
          <w:b/>
          <w:bCs/>
          <w:sz w:val="28"/>
          <w:szCs w:val="28"/>
        </w:rPr>
        <w:t>录</w:t>
      </w:r>
    </w:p>
    <w:p>
      <w:pPr>
        <w:rPr>
          <w:rFonts w:ascii="宋体" w:cs="Times New Roman"/>
          <w:b/>
          <w:bCs/>
          <w:sz w:val="28"/>
          <w:szCs w:val="28"/>
        </w:rPr>
      </w:pPr>
      <w:r>
        <w:rPr>
          <w:rFonts w:hint="eastAsia" w:ascii="宋体" w:hAnsi="宋体" w:cs="宋体"/>
          <w:b/>
          <w:bCs/>
          <w:sz w:val="28"/>
          <w:szCs w:val="28"/>
        </w:rPr>
        <w:t>第一部分</w:t>
      </w:r>
      <w:r>
        <w:rPr>
          <w:rFonts w:ascii="宋体" w:cs="Times New Roman"/>
          <w:b/>
          <w:bCs/>
          <w:sz w:val="28"/>
          <w:szCs w:val="28"/>
        </w:rPr>
        <w:t> </w:t>
      </w:r>
      <w:r>
        <w:rPr>
          <w:rFonts w:ascii="宋体" w:hAnsi="宋体" w:cs="宋体"/>
          <w:b/>
          <w:bCs/>
          <w:sz w:val="28"/>
          <w:szCs w:val="28"/>
        </w:rPr>
        <w:t xml:space="preserve"> </w:t>
      </w:r>
      <w:r>
        <w:rPr>
          <w:rFonts w:hint="eastAsia" w:ascii="宋体" w:hAnsi="宋体" w:cs="宋体"/>
          <w:b/>
          <w:bCs/>
          <w:sz w:val="28"/>
          <w:szCs w:val="28"/>
        </w:rPr>
        <w:t>单位概况</w:t>
      </w:r>
    </w:p>
    <w:p>
      <w:pPr>
        <w:rPr>
          <w:rFonts w:ascii="宋体" w:cs="Times New Roman"/>
          <w:sz w:val="28"/>
          <w:szCs w:val="28"/>
        </w:rPr>
      </w:pPr>
      <w:r>
        <w:rPr>
          <w:rFonts w:hint="eastAsia" w:ascii="宋体" w:hAnsi="宋体" w:cs="宋体"/>
          <w:sz w:val="28"/>
          <w:szCs w:val="28"/>
        </w:rPr>
        <w:t>一、部门职责</w:t>
      </w:r>
    </w:p>
    <w:p>
      <w:pPr>
        <w:rPr>
          <w:rFonts w:ascii="宋体" w:cs="Times New Roman"/>
          <w:sz w:val="28"/>
          <w:szCs w:val="28"/>
        </w:rPr>
      </w:pPr>
      <w:r>
        <w:rPr>
          <w:rFonts w:hint="eastAsia" w:ascii="宋体" w:hAnsi="宋体" w:cs="宋体"/>
          <w:sz w:val="28"/>
          <w:szCs w:val="28"/>
        </w:rPr>
        <w:t>二、机构设置</w:t>
      </w:r>
    </w:p>
    <w:p>
      <w:pPr>
        <w:rPr>
          <w:rFonts w:ascii="宋体" w:cs="Times New Roman"/>
          <w:b/>
          <w:bCs/>
          <w:sz w:val="28"/>
          <w:szCs w:val="28"/>
        </w:rPr>
      </w:pPr>
      <w:r>
        <w:rPr>
          <w:rFonts w:hint="eastAsia" w:ascii="宋体" w:hAnsi="宋体" w:cs="宋体"/>
          <w:b/>
          <w:bCs/>
          <w:sz w:val="28"/>
          <w:szCs w:val="28"/>
        </w:rPr>
        <w:t>第二部分</w:t>
      </w:r>
      <w:r>
        <w:rPr>
          <w:rFonts w:ascii="宋体" w:cs="Times New Roman"/>
          <w:b/>
          <w:bCs/>
          <w:sz w:val="28"/>
          <w:szCs w:val="28"/>
        </w:rPr>
        <w:t> </w:t>
      </w:r>
      <w:r>
        <w:rPr>
          <w:rFonts w:hint="eastAsia" w:ascii="宋体" w:hAnsi="宋体" w:cs="宋体"/>
          <w:b/>
          <w:bCs/>
          <w:sz w:val="28"/>
          <w:szCs w:val="28"/>
        </w:rPr>
        <w:t>洞口县企业养老保险站</w:t>
      </w:r>
      <w:r>
        <w:rPr>
          <w:rFonts w:ascii="宋体" w:hAnsi="宋体" w:cs="宋体"/>
          <w:b/>
          <w:bCs/>
          <w:sz w:val="28"/>
          <w:szCs w:val="28"/>
        </w:rPr>
        <w:t>2019</w:t>
      </w:r>
      <w:r>
        <w:rPr>
          <w:rFonts w:hint="eastAsia" w:ascii="宋体" w:hAnsi="宋体" w:cs="宋体"/>
          <w:b/>
          <w:bCs/>
          <w:sz w:val="28"/>
          <w:szCs w:val="28"/>
        </w:rPr>
        <w:t>年度部门决算表</w:t>
      </w:r>
    </w:p>
    <w:p>
      <w:pPr>
        <w:rPr>
          <w:rFonts w:ascii="宋体" w:cs="Times New Roman"/>
          <w:sz w:val="28"/>
          <w:szCs w:val="28"/>
        </w:rPr>
      </w:pPr>
      <w:r>
        <w:rPr>
          <w:rFonts w:hint="eastAsia" w:ascii="宋体" w:hAnsi="宋体" w:cs="宋体"/>
          <w:sz w:val="28"/>
          <w:szCs w:val="28"/>
        </w:rPr>
        <w:t>一、收入支出决算总表</w:t>
      </w:r>
    </w:p>
    <w:p>
      <w:pPr>
        <w:rPr>
          <w:rFonts w:ascii="宋体" w:cs="Times New Roman"/>
          <w:sz w:val="28"/>
          <w:szCs w:val="28"/>
        </w:rPr>
      </w:pPr>
      <w:r>
        <w:rPr>
          <w:rFonts w:hint="eastAsia" w:ascii="宋体" w:hAnsi="宋体" w:cs="宋体"/>
          <w:sz w:val="28"/>
          <w:szCs w:val="28"/>
        </w:rPr>
        <w:t>二、收入决算表</w:t>
      </w:r>
    </w:p>
    <w:p>
      <w:pPr>
        <w:rPr>
          <w:rFonts w:ascii="宋体" w:cs="Times New Roman"/>
          <w:sz w:val="28"/>
          <w:szCs w:val="28"/>
        </w:rPr>
      </w:pPr>
      <w:r>
        <w:rPr>
          <w:rFonts w:hint="eastAsia" w:ascii="宋体" w:hAnsi="宋体" w:cs="宋体"/>
          <w:sz w:val="28"/>
          <w:szCs w:val="28"/>
        </w:rPr>
        <w:t>三、支出决算表</w:t>
      </w:r>
    </w:p>
    <w:p>
      <w:pPr>
        <w:rPr>
          <w:rFonts w:ascii="宋体" w:cs="Times New Roman"/>
          <w:sz w:val="28"/>
          <w:szCs w:val="28"/>
        </w:rPr>
      </w:pPr>
      <w:r>
        <w:rPr>
          <w:rFonts w:hint="eastAsia" w:ascii="宋体" w:hAnsi="宋体" w:cs="宋体"/>
          <w:sz w:val="28"/>
          <w:szCs w:val="28"/>
        </w:rPr>
        <w:t>四、财政拨款收入支出决算总表</w:t>
      </w:r>
    </w:p>
    <w:p>
      <w:pPr>
        <w:rPr>
          <w:rFonts w:ascii="宋体" w:cs="Times New Roman"/>
          <w:sz w:val="28"/>
          <w:szCs w:val="28"/>
        </w:rPr>
      </w:pPr>
      <w:r>
        <w:rPr>
          <w:rFonts w:hint="eastAsia" w:ascii="宋体" w:hAnsi="宋体" w:cs="宋体"/>
          <w:sz w:val="28"/>
          <w:szCs w:val="28"/>
        </w:rPr>
        <w:t>五、一般公共预算财政拨款支出决算表</w:t>
      </w:r>
    </w:p>
    <w:p>
      <w:pPr>
        <w:rPr>
          <w:rFonts w:ascii="宋体" w:cs="Times New Roman"/>
          <w:sz w:val="28"/>
          <w:szCs w:val="28"/>
        </w:rPr>
      </w:pPr>
      <w:r>
        <w:rPr>
          <w:rFonts w:hint="eastAsia" w:ascii="宋体" w:hAnsi="宋体" w:cs="宋体"/>
          <w:sz w:val="28"/>
          <w:szCs w:val="28"/>
        </w:rPr>
        <w:t>六、一般公共预算财政拨款基本支出决算表</w:t>
      </w:r>
    </w:p>
    <w:p>
      <w:pPr>
        <w:rPr>
          <w:rFonts w:ascii="宋体" w:cs="Times New Roman"/>
          <w:sz w:val="28"/>
          <w:szCs w:val="28"/>
        </w:rPr>
      </w:pPr>
      <w:r>
        <w:rPr>
          <w:rFonts w:hint="eastAsia" w:ascii="宋体" w:hAnsi="宋体" w:cs="宋体"/>
          <w:sz w:val="28"/>
          <w:szCs w:val="28"/>
        </w:rPr>
        <w:t>七、一般公共预算财政拨款“三公”经费支出决算表</w:t>
      </w:r>
    </w:p>
    <w:p>
      <w:pPr>
        <w:rPr>
          <w:rFonts w:ascii="宋体" w:cs="Times New Roman"/>
          <w:sz w:val="28"/>
          <w:szCs w:val="28"/>
        </w:rPr>
      </w:pPr>
      <w:r>
        <w:rPr>
          <w:rFonts w:hint="eastAsia" w:ascii="宋体" w:hAnsi="宋体" w:cs="宋体"/>
          <w:sz w:val="28"/>
          <w:szCs w:val="28"/>
        </w:rPr>
        <w:t>八、政府性基金预算财政拨款收入支出决算表</w:t>
      </w:r>
    </w:p>
    <w:p>
      <w:pPr>
        <w:rPr>
          <w:rFonts w:ascii="宋体" w:cs="Times New Roman"/>
          <w:b/>
          <w:bCs/>
          <w:sz w:val="28"/>
          <w:szCs w:val="28"/>
        </w:rPr>
      </w:pPr>
      <w:r>
        <w:rPr>
          <w:rFonts w:hint="eastAsia" w:ascii="宋体" w:hAnsi="宋体" w:cs="宋体"/>
          <w:b/>
          <w:bCs/>
          <w:sz w:val="28"/>
          <w:szCs w:val="28"/>
        </w:rPr>
        <w:t>第三部分</w:t>
      </w:r>
      <w:r>
        <w:rPr>
          <w:rFonts w:ascii="宋体" w:cs="Times New Roman"/>
          <w:b/>
          <w:bCs/>
          <w:sz w:val="28"/>
          <w:szCs w:val="28"/>
        </w:rPr>
        <w:t> </w:t>
      </w:r>
      <w:r>
        <w:rPr>
          <w:rFonts w:ascii="宋体" w:hAnsi="宋体" w:cs="宋体"/>
          <w:b/>
          <w:bCs/>
          <w:sz w:val="28"/>
          <w:szCs w:val="28"/>
        </w:rPr>
        <w:t xml:space="preserve"> </w:t>
      </w:r>
      <w:r>
        <w:rPr>
          <w:rFonts w:hint="eastAsia" w:ascii="宋体" w:hAnsi="宋体" w:cs="宋体"/>
          <w:b/>
          <w:bCs/>
          <w:sz w:val="28"/>
          <w:szCs w:val="28"/>
        </w:rPr>
        <w:t>单位</w:t>
      </w:r>
      <w:r>
        <w:rPr>
          <w:rFonts w:ascii="宋体" w:hAnsi="宋体" w:cs="宋体"/>
          <w:b/>
          <w:bCs/>
          <w:sz w:val="28"/>
          <w:szCs w:val="28"/>
        </w:rPr>
        <w:t>2019</w:t>
      </w:r>
      <w:r>
        <w:rPr>
          <w:rFonts w:hint="eastAsia" w:ascii="宋体" w:hAnsi="宋体" w:cs="宋体"/>
          <w:b/>
          <w:bCs/>
          <w:sz w:val="28"/>
          <w:szCs w:val="28"/>
        </w:rPr>
        <w:t>年度部门决算情况说明</w:t>
      </w:r>
    </w:p>
    <w:p>
      <w:pPr>
        <w:rPr>
          <w:rFonts w:ascii="宋体" w:cs="Times New Roman"/>
          <w:sz w:val="28"/>
          <w:szCs w:val="28"/>
        </w:rPr>
      </w:pPr>
      <w:r>
        <w:rPr>
          <w:rFonts w:hint="eastAsia" w:ascii="宋体" w:hAnsi="宋体" w:cs="宋体"/>
          <w:sz w:val="28"/>
          <w:szCs w:val="28"/>
        </w:rPr>
        <w:t>一、收入支出决算总体情况说明</w:t>
      </w:r>
    </w:p>
    <w:p>
      <w:pPr>
        <w:rPr>
          <w:rFonts w:ascii="宋体" w:cs="Times New Roman"/>
          <w:sz w:val="28"/>
          <w:szCs w:val="28"/>
        </w:rPr>
      </w:pPr>
      <w:r>
        <w:rPr>
          <w:rFonts w:hint="eastAsia" w:ascii="宋体" w:hAnsi="宋体" w:cs="宋体"/>
          <w:sz w:val="28"/>
          <w:szCs w:val="28"/>
        </w:rPr>
        <w:t>二、收入决算情况说明</w:t>
      </w:r>
    </w:p>
    <w:p>
      <w:pPr>
        <w:rPr>
          <w:rFonts w:ascii="宋体" w:cs="Times New Roman"/>
          <w:sz w:val="28"/>
          <w:szCs w:val="28"/>
        </w:rPr>
      </w:pPr>
      <w:r>
        <w:rPr>
          <w:rFonts w:hint="eastAsia" w:ascii="宋体" w:hAnsi="宋体" w:cs="宋体"/>
          <w:sz w:val="28"/>
          <w:szCs w:val="28"/>
        </w:rPr>
        <w:t>三、支出决算情况说明</w:t>
      </w:r>
    </w:p>
    <w:p>
      <w:pPr>
        <w:rPr>
          <w:rFonts w:ascii="宋体" w:cs="Times New Roman"/>
          <w:sz w:val="28"/>
          <w:szCs w:val="28"/>
        </w:rPr>
      </w:pPr>
      <w:r>
        <w:rPr>
          <w:rFonts w:hint="eastAsia" w:ascii="宋体" w:hAnsi="宋体" w:cs="宋体"/>
          <w:sz w:val="28"/>
          <w:szCs w:val="28"/>
        </w:rPr>
        <w:t>四、财政拨款收入支出决算总体情况说明</w:t>
      </w:r>
    </w:p>
    <w:p>
      <w:pPr>
        <w:rPr>
          <w:rFonts w:ascii="宋体" w:cs="Times New Roman"/>
          <w:sz w:val="28"/>
          <w:szCs w:val="28"/>
        </w:rPr>
      </w:pPr>
      <w:r>
        <w:rPr>
          <w:rFonts w:hint="eastAsia" w:ascii="宋体" w:hAnsi="宋体" w:cs="宋体"/>
          <w:sz w:val="28"/>
          <w:szCs w:val="28"/>
        </w:rPr>
        <w:t>五、一般公共预算财政拨款支出决算情况说明</w:t>
      </w:r>
    </w:p>
    <w:p>
      <w:pPr>
        <w:rPr>
          <w:rFonts w:ascii="宋体" w:cs="Times New Roman"/>
          <w:sz w:val="28"/>
          <w:szCs w:val="28"/>
        </w:rPr>
      </w:pPr>
      <w:r>
        <w:rPr>
          <w:rFonts w:hint="eastAsia" w:ascii="宋体" w:hAnsi="宋体" w:cs="宋体"/>
          <w:sz w:val="28"/>
          <w:szCs w:val="28"/>
        </w:rPr>
        <w:t>六、一般公共预算财政拨款基本支出决算情况说明</w:t>
      </w:r>
    </w:p>
    <w:p>
      <w:pPr>
        <w:rPr>
          <w:rFonts w:ascii="宋体" w:cs="Times New Roman"/>
          <w:sz w:val="28"/>
          <w:szCs w:val="28"/>
        </w:rPr>
      </w:pPr>
      <w:r>
        <w:rPr>
          <w:rFonts w:hint="eastAsia" w:ascii="宋体" w:hAnsi="宋体" w:cs="宋体"/>
          <w:sz w:val="28"/>
          <w:szCs w:val="28"/>
        </w:rPr>
        <w:t>七、一般公共预算财政拨款“三公”经费支出情况决算情况说明</w:t>
      </w:r>
    </w:p>
    <w:p>
      <w:pPr>
        <w:rPr>
          <w:rFonts w:ascii="宋体" w:cs="Times New Roman"/>
          <w:sz w:val="28"/>
          <w:szCs w:val="28"/>
        </w:rPr>
      </w:pPr>
      <w:r>
        <w:rPr>
          <w:rFonts w:hint="eastAsia" w:ascii="宋体" w:hAnsi="宋体" w:cs="宋体"/>
          <w:sz w:val="28"/>
          <w:szCs w:val="28"/>
        </w:rPr>
        <w:t>八、政府基金收支决算情况说明</w:t>
      </w:r>
    </w:p>
    <w:p>
      <w:pPr>
        <w:rPr>
          <w:rFonts w:ascii="宋体" w:cs="Times New Roman"/>
          <w:sz w:val="28"/>
          <w:szCs w:val="28"/>
        </w:rPr>
      </w:pPr>
      <w:r>
        <w:rPr>
          <w:rFonts w:hint="eastAsia" w:ascii="宋体" w:hAnsi="宋体" w:cs="宋体"/>
          <w:sz w:val="28"/>
          <w:szCs w:val="28"/>
        </w:rPr>
        <w:t>九、预算绩效情况说明</w:t>
      </w:r>
    </w:p>
    <w:p>
      <w:pPr>
        <w:rPr>
          <w:rFonts w:ascii="宋体" w:cs="Times New Roman"/>
          <w:sz w:val="28"/>
          <w:szCs w:val="28"/>
        </w:rPr>
      </w:pPr>
      <w:r>
        <w:rPr>
          <w:rFonts w:hint="eastAsia" w:ascii="宋体" w:hAnsi="宋体" w:cs="宋体"/>
          <w:sz w:val="28"/>
          <w:szCs w:val="28"/>
        </w:rPr>
        <w:t>十、其他重要事项的情况说明</w:t>
      </w:r>
    </w:p>
    <w:p>
      <w:pPr>
        <w:rPr>
          <w:rFonts w:ascii="宋体" w:cs="Times New Roman"/>
          <w:b/>
          <w:bCs/>
          <w:sz w:val="28"/>
          <w:szCs w:val="28"/>
        </w:rPr>
      </w:pPr>
      <w:r>
        <w:rPr>
          <w:rFonts w:hint="eastAsia" w:ascii="宋体" w:hAnsi="宋体" w:cs="宋体"/>
          <w:b/>
          <w:bCs/>
          <w:sz w:val="28"/>
          <w:szCs w:val="28"/>
        </w:rPr>
        <w:t>第四部分</w:t>
      </w:r>
      <w:r>
        <w:rPr>
          <w:rFonts w:ascii="宋体" w:cs="Times New Roman"/>
          <w:b/>
          <w:bCs/>
          <w:sz w:val="28"/>
          <w:szCs w:val="28"/>
        </w:rPr>
        <w:t> </w:t>
      </w:r>
      <w:r>
        <w:rPr>
          <w:rFonts w:ascii="宋体" w:hAnsi="宋体" w:cs="宋体"/>
          <w:b/>
          <w:bCs/>
          <w:sz w:val="28"/>
          <w:szCs w:val="28"/>
        </w:rPr>
        <w:t xml:space="preserve"> </w:t>
      </w:r>
      <w:r>
        <w:rPr>
          <w:rFonts w:hint="eastAsia" w:ascii="宋体" w:hAnsi="宋体" w:cs="宋体"/>
          <w:b/>
          <w:bCs/>
          <w:sz w:val="28"/>
          <w:szCs w:val="28"/>
        </w:rPr>
        <w:t>名称解释</w:t>
      </w:r>
    </w:p>
    <w:p>
      <w:pPr>
        <w:widowControl/>
        <w:rPr>
          <w:rFonts w:ascii="宋体" w:cs="Times New Roman"/>
          <w:b/>
          <w:bCs/>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rPr>
          <w:rFonts w:ascii="宋体" w:cs="Times New Roman"/>
          <w:sz w:val="28"/>
          <w:szCs w:val="28"/>
        </w:rPr>
      </w:pPr>
    </w:p>
    <w:p>
      <w:pPr>
        <w:rPr>
          <w:rFonts w:ascii="宋体" w:cs="Times New Roman"/>
          <w:sz w:val="28"/>
          <w:szCs w:val="28"/>
        </w:rPr>
      </w:pPr>
      <w:r>
        <w:rPr>
          <w:rFonts w:hint="eastAsia" w:ascii="宋体" w:hAnsi="宋体" w:cs="宋体"/>
          <w:sz w:val="28"/>
          <w:szCs w:val="28"/>
        </w:rPr>
        <w:t>第一部分</w:t>
      </w:r>
      <w:r>
        <w:rPr>
          <w:rFonts w:ascii="宋体" w:hAnsi="宋体" w:cs="宋体"/>
          <w:sz w:val="28"/>
          <w:szCs w:val="28"/>
        </w:rPr>
        <w:t xml:space="preserve">  </w:t>
      </w:r>
      <w:r>
        <w:rPr>
          <w:rFonts w:hint="eastAsia" w:ascii="宋体" w:hAnsi="宋体" w:cs="宋体"/>
          <w:sz w:val="28"/>
          <w:szCs w:val="28"/>
        </w:rPr>
        <w:t>单位概况</w:t>
      </w:r>
    </w:p>
    <w:p>
      <w:pPr>
        <w:rPr>
          <w:rFonts w:ascii="宋体" w:cs="Times New Roman"/>
          <w:sz w:val="28"/>
          <w:szCs w:val="28"/>
        </w:rPr>
      </w:pPr>
      <w:r>
        <w:rPr>
          <w:rFonts w:hint="eastAsia" w:ascii="宋体" w:hAnsi="宋体" w:cs="宋体"/>
          <w:sz w:val="28"/>
          <w:szCs w:val="28"/>
        </w:rPr>
        <w:t>一、部门职责</w:t>
      </w:r>
    </w:p>
    <w:p>
      <w:pPr>
        <w:ind w:firstLine="560" w:firstLineChars="200"/>
        <w:rPr>
          <w:rFonts w:ascii="宋体" w:cs="Times New Roman"/>
          <w:kern w:val="1"/>
          <w:sz w:val="28"/>
          <w:szCs w:val="28"/>
        </w:rPr>
      </w:pPr>
      <w:r>
        <w:rPr>
          <w:rFonts w:ascii="宋体" w:hAnsi="宋体" w:cs="宋体"/>
          <w:kern w:val="1"/>
          <w:sz w:val="28"/>
          <w:szCs w:val="28"/>
        </w:rPr>
        <w:t>1</w:t>
      </w:r>
      <w:r>
        <w:rPr>
          <w:rFonts w:hint="eastAsia" w:ascii="宋体" w:hAnsi="宋体" w:cs="宋体"/>
          <w:kern w:val="1"/>
          <w:sz w:val="28"/>
          <w:szCs w:val="28"/>
        </w:rPr>
        <w:t>、执行国家、省市关于企业养老保险方面的政策法规，拟定我县关于企业养老保险的一些相关政策、改革方案和发展规划。</w:t>
      </w:r>
    </w:p>
    <w:p>
      <w:pPr>
        <w:ind w:firstLine="560" w:firstLineChars="200"/>
        <w:rPr>
          <w:rFonts w:ascii="宋体" w:cs="Times New Roman"/>
          <w:kern w:val="1"/>
          <w:sz w:val="28"/>
          <w:szCs w:val="28"/>
        </w:rPr>
      </w:pPr>
      <w:r>
        <w:rPr>
          <w:rFonts w:ascii="宋体" w:hAnsi="宋体" w:cs="宋体"/>
          <w:kern w:val="1"/>
          <w:sz w:val="28"/>
          <w:szCs w:val="28"/>
        </w:rPr>
        <w:t>2</w:t>
      </w:r>
      <w:r>
        <w:rPr>
          <w:rFonts w:hint="eastAsia" w:ascii="宋体" w:hAnsi="宋体" w:cs="宋体"/>
          <w:kern w:val="1"/>
          <w:sz w:val="28"/>
          <w:szCs w:val="28"/>
        </w:rPr>
        <w:t>、确保离退休人员基本养老金按时足额发放。</w:t>
      </w:r>
    </w:p>
    <w:p>
      <w:pPr>
        <w:ind w:firstLine="560" w:firstLineChars="200"/>
        <w:rPr>
          <w:rFonts w:ascii="宋体" w:cs="Times New Roman"/>
          <w:kern w:val="1"/>
          <w:sz w:val="28"/>
          <w:szCs w:val="28"/>
        </w:rPr>
      </w:pPr>
      <w:r>
        <w:rPr>
          <w:rFonts w:ascii="宋体" w:hAnsi="宋体" w:cs="宋体"/>
          <w:kern w:val="1"/>
          <w:sz w:val="28"/>
          <w:szCs w:val="28"/>
        </w:rPr>
        <w:t>3</w:t>
      </w:r>
      <w:r>
        <w:rPr>
          <w:rFonts w:hint="eastAsia" w:ascii="宋体" w:hAnsi="宋体" w:cs="宋体"/>
          <w:kern w:val="1"/>
          <w:sz w:val="28"/>
          <w:szCs w:val="28"/>
        </w:rPr>
        <w:t>、依法征缴养老保险费，督促企业和参保人员按时足额缴纳养老保险费。</w:t>
      </w:r>
    </w:p>
    <w:p>
      <w:pPr>
        <w:ind w:firstLine="560" w:firstLineChars="200"/>
        <w:rPr>
          <w:rFonts w:ascii="宋体" w:cs="Times New Roman"/>
          <w:kern w:val="1"/>
          <w:sz w:val="28"/>
          <w:szCs w:val="28"/>
        </w:rPr>
      </w:pPr>
      <w:r>
        <w:rPr>
          <w:rFonts w:ascii="宋体" w:hAnsi="宋体" w:cs="宋体"/>
          <w:kern w:val="1"/>
          <w:sz w:val="28"/>
          <w:szCs w:val="28"/>
        </w:rPr>
        <w:t>4</w:t>
      </w:r>
      <w:r>
        <w:rPr>
          <w:rFonts w:hint="eastAsia" w:ascii="宋体" w:hAnsi="宋体" w:cs="宋体"/>
          <w:kern w:val="1"/>
          <w:sz w:val="28"/>
          <w:szCs w:val="28"/>
        </w:rPr>
        <w:t>、扩大企业养老保险覆盖面。</w:t>
      </w:r>
    </w:p>
    <w:p>
      <w:pPr>
        <w:ind w:firstLine="560" w:firstLineChars="200"/>
        <w:rPr>
          <w:rFonts w:ascii="宋体" w:cs="Times New Roman"/>
          <w:kern w:val="1"/>
          <w:sz w:val="28"/>
          <w:szCs w:val="28"/>
        </w:rPr>
      </w:pPr>
      <w:r>
        <w:rPr>
          <w:rFonts w:ascii="宋体" w:hAnsi="宋体" w:cs="宋体"/>
          <w:kern w:val="1"/>
          <w:sz w:val="28"/>
          <w:szCs w:val="28"/>
        </w:rPr>
        <w:t>5</w:t>
      </w:r>
      <w:r>
        <w:rPr>
          <w:rFonts w:hint="eastAsia" w:ascii="宋体" w:hAnsi="宋体" w:cs="宋体"/>
          <w:kern w:val="1"/>
          <w:sz w:val="28"/>
          <w:szCs w:val="28"/>
        </w:rPr>
        <w:t>、建立健全参保人员养老保险档案和个人帐户，依法保障养老保险档案的安全与完整。</w:t>
      </w:r>
    </w:p>
    <w:p>
      <w:pPr>
        <w:ind w:firstLine="560" w:firstLineChars="200"/>
        <w:rPr>
          <w:rFonts w:ascii="宋体" w:cs="Times New Roman"/>
          <w:kern w:val="1"/>
          <w:sz w:val="28"/>
          <w:szCs w:val="28"/>
        </w:rPr>
      </w:pPr>
      <w:r>
        <w:rPr>
          <w:rFonts w:ascii="宋体" w:hAnsi="宋体" w:cs="宋体"/>
          <w:kern w:val="1"/>
          <w:sz w:val="28"/>
          <w:szCs w:val="28"/>
        </w:rPr>
        <w:t>6</w:t>
      </w:r>
      <w:r>
        <w:rPr>
          <w:rFonts w:hint="eastAsia" w:ascii="宋体" w:hAnsi="宋体" w:cs="宋体"/>
          <w:kern w:val="1"/>
          <w:sz w:val="28"/>
          <w:szCs w:val="28"/>
        </w:rPr>
        <w:t>、执行企业职工退休政策，负责企业职工退休的审批办理。</w:t>
      </w:r>
    </w:p>
    <w:p>
      <w:pPr>
        <w:ind w:firstLine="560" w:firstLineChars="200"/>
        <w:rPr>
          <w:rFonts w:ascii="宋体" w:cs="Times New Roman"/>
          <w:kern w:val="1"/>
          <w:sz w:val="28"/>
          <w:szCs w:val="28"/>
        </w:rPr>
      </w:pPr>
      <w:r>
        <w:rPr>
          <w:rFonts w:ascii="宋体" w:hAnsi="宋体" w:cs="宋体"/>
          <w:kern w:val="1"/>
          <w:sz w:val="28"/>
          <w:szCs w:val="28"/>
        </w:rPr>
        <w:t>7</w:t>
      </w:r>
      <w:r>
        <w:rPr>
          <w:rFonts w:hint="eastAsia" w:ascii="宋体" w:hAnsi="宋体" w:cs="宋体"/>
          <w:kern w:val="1"/>
          <w:sz w:val="28"/>
          <w:szCs w:val="28"/>
        </w:rPr>
        <w:t>、办理参保人员养老保险关系及个人帐户的接转手续。</w:t>
      </w:r>
    </w:p>
    <w:p>
      <w:pPr>
        <w:ind w:firstLine="560" w:firstLineChars="200"/>
        <w:rPr>
          <w:rFonts w:ascii="宋体" w:cs="Times New Roman"/>
          <w:kern w:val="1"/>
          <w:sz w:val="28"/>
          <w:szCs w:val="28"/>
        </w:rPr>
      </w:pPr>
      <w:r>
        <w:rPr>
          <w:rFonts w:ascii="宋体" w:hAnsi="宋体" w:cs="宋体"/>
          <w:kern w:val="1"/>
          <w:sz w:val="28"/>
          <w:szCs w:val="28"/>
        </w:rPr>
        <w:t>8</w:t>
      </w:r>
      <w:r>
        <w:rPr>
          <w:rFonts w:hint="eastAsia" w:ascii="宋体" w:hAnsi="宋体" w:cs="宋体"/>
          <w:kern w:val="1"/>
          <w:sz w:val="28"/>
          <w:szCs w:val="28"/>
        </w:rPr>
        <w:t>、按时编制养老保险基金的预、决算草案，编制会计、统计报表。</w:t>
      </w:r>
    </w:p>
    <w:p>
      <w:pPr>
        <w:ind w:firstLine="560" w:firstLineChars="200"/>
        <w:rPr>
          <w:rFonts w:ascii="宋体" w:cs="Times New Roman"/>
          <w:kern w:val="1"/>
          <w:sz w:val="28"/>
          <w:szCs w:val="28"/>
        </w:rPr>
      </w:pPr>
      <w:r>
        <w:rPr>
          <w:rFonts w:ascii="宋体" w:hAnsi="宋体" w:cs="宋体"/>
          <w:kern w:val="1"/>
          <w:sz w:val="28"/>
          <w:szCs w:val="28"/>
        </w:rPr>
        <w:t>9</w:t>
      </w:r>
      <w:r>
        <w:rPr>
          <w:rFonts w:hint="eastAsia" w:ascii="宋体" w:hAnsi="宋体" w:cs="宋体"/>
          <w:kern w:val="1"/>
          <w:sz w:val="28"/>
          <w:szCs w:val="28"/>
        </w:rPr>
        <w:t>、依法管理养老保险基金，确保基金安全增值。</w:t>
      </w:r>
    </w:p>
    <w:p>
      <w:pPr>
        <w:ind w:firstLine="560" w:firstLineChars="200"/>
        <w:rPr>
          <w:rFonts w:ascii="宋体" w:cs="Times New Roman"/>
          <w:kern w:val="1"/>
          <w:sz w:val="28"/>
          <w:szCs w:val="28"/>
        </w:rPr>
      </w:pPr>
      <w:r>
        <w:rPr>
          <w:rFonts w:ascii="宋体" w:hAnsi="宋体" w:cs="宋体"/>
          <w:kern w:val="1"/>
          <w:sz w:val="28"/>
          <w:szCs w:val="28"/>
        </w:rPr>
        <w:t>10</w:t>
      </w:r>
      <w:r>
        <w:rPr>
          <w:rFonts w:hint="eastAsia" w:ascii="宋体" w:hAnsi="宋体" w:cs="宋体"/>
          <w:kern w:val="1"/>
          <w:sz w:val="28"/>
          <w:szCs w:val="28"/>
        </w:rPr>
        <w:t>、向企业和参保人员提供有关养老保险的咨询、查询服务。</w:t>
      </w:r>
    </w:p>
    <w:p>
      <w:pPr>
        <w:ind w:firstLine="560" w:firstLineChars="200"/>
        <w:rPr>
          <w:rFonts w:ascii="宋体" w:cs="Times New Roman"/>
          <w:kern w:val="1"/>
          <w:sz w:val="28"/>
          <w:szCs w:val="28"/>
        </w:rPr>
      </w:pPr>
      <w:r>
        <w:rPr>
          <w:rFonts w:ascii="宋体" w:hAnsi="宋体" w:cs="宋体"/>
          <w:kern w:val="1"/>
          <w:sz w:val="28"/>
          <w:szCs w:val="28"/>
        </w:rPr>
        <w:t>11</w:t>
      </w:r>
      <w:r>
        <w:rPr>
          <w:rFonts w:hint="eastAsia" w:ascii="宋体" w:hAnsi="宋体" w:cs="宋体"/>
          <w:kern w:val="1"/>
          <w:sz w:val="28"/>
          <w:szCs w:val="28"/>
        </w:rPr>
        <w:t>、组织推动对离退休人员的社会化管理服务工作。</w:t>
      </w:r>
    </w:p>
    <w:p>
      <w:pPr>
        <w:ind w:firstLine="560" w:firstLineChars="200"/>
        <w:rPr>
          <w:rFonts w:ascii="宋体" w:cs="Times New Roman"/>
          <w:kern w:val="1"/>
          <w:sz w:val="28"/>
          <w:szCs w:val="28"/>
        </w:rPr>
      </w:pPr>
      <w:r>
        <w:rPr>
          <w:rFonts w:ascii="宋体" w:hAnsi="宋体" w:cs="宋体"/>
          <w:kern w:val="1"/>
          <w:sz w:val="28"/>
          <w:szCs w:val="28"/>
        </w:rPr>
        <w:t>12</w:t>
      </w:r>
      <w:r>
        <w:rPr>
          <w:rFonts w:hint="eastAsia" w:ascii="宋体" w:hAnsi="宋体" w:cs="宋体"/>
          <w:kern w:val="1"/>
          <w:sz w:val="28"/>
          <w:szCs w:val="28"/>
        </w:rPr>
        <w:t>、承办人力资源和社会保障局有关行政委托事项。</w:t>
      </w:r>
    </w:p>
    <w:p>
      <w:pPr>
        <w:rPr>
          <w:rFonts w:ascii="宋体" w:cs="Times New Roman"/>
          <w:sz w:val="28"/>
          <w:szCs w:val="28"/>
        </w:rPr>
      </w:pPr>
      <w:r>
        <w:rPr>
          <w:rFonts w:hint="eastAsia" w:ascii="宋体" w:hAnsi="宋体" w:cs="宋体"/>
          <w:sz w:val="28"/>
          <w:szCs w:val="28"/>
        </w:rPr>
        <w:t>二、机构设置及决算单位构成</w:t>
      </w:r>
    </w:p>
    <w:p>
      <w:pPr>
        <w:ind w:firstLine="560" w:firstLineChars="200"/>
        <w:rPr>
          <w:rFonts w:ascii="宋体" w:cs="Times New Roman"/>
          <w:kern w:val="1"/>
          <w:sz w:val="28"/>
          <w:szCs w:val="28"/>
        </w:rPr>
      </w:pPr>
      <w:r>
        <w:rPr>
          <w:rFonts w:ascii="宋体" w:hAnsi="宋体" w:cs="宋体"/>
          <w:kern w:val="1"/>
          <w:sz w:val="28"/>
          <w:szCs w:val="28"/>
        </w:rPr>
        <w:t>1</w:t>
      </w:r>
      <w:r>
        <w:rPr>
          <w:rFonts w:hint="eastAsia" w:ascii="宋体" w:hAnsi="宋体" w:cs="宋体"/>
          <w:kern w:val="1"/>
          <w:sz w:val="28"/>
          <w:szCs w:val="28"/>
        </w:rPr>
        <w:t>、内设机构设置。包括财务股、个帐股、退管股、稽核股及办公室等内设机构，下设</w:t>
      </w:r>
      <w:r>
        <w:rPr>
          <w:rFonts w:ascii="宋体" w:cs="宋体"/>
          <w:kern w:val="1"/>
          <w:sz w:val="28"/>
          <w:szCs w:val="28"/>
        </w:rPr>
        <w:t>0</w:t>
      </w:r>
      <w:r>
        <w:rPr>
          <w:rFonts w:hint="eastAsia" w:ascii="宋体" w:hAnsi="宋体" w:cs="宋体"/>
          <w:kern w:val="1"/>
          <w:sz w:val="28"/>
          <w:szCs w:val="28"/>
        </w:rPr>
        <w:t>个二级单位。</w:t>
      </w:r>
    </w:p>
    <w:p>
      <w:pPr>
        <w:ind w:firstLine="560" w:firstLineChars="200"/>
        <w:rPr>
          <w:rFonts w:ascii="宋体" w:cs="Times New Roman"/>
          <w:sz w:val="28"/>
          <w:szCs w:val="28"/>
        </w:rPr>
      </w:pPr>
      <w:r>
        <w:rPr>
          <w:rFonts w:ascii="宋体" w:hAnsi="宋体" w:cs="宋体"/>
          <w:sz w:val="28"/>
          <w:szCs w:val="28"/>
        </w:rPr>
        <w:t xml:space="preserve"> 2</w:t>
      </w:r>
      <w:r>
        <w:rPr>
          <w:rFonts w:hint="eastAsia" w:ascii="宋体" w:hAnsi="宋体" w:cs="宋体"/>
          <w:sz w:val="28"/>
          <w:szCs w:val="28"/>
        </w:rPr>
        <w:t>、决算单位构成。本单位</w:t>
      </w:r>
      <w:r>
        <w:rPr>
          <w:rFonts w:ascii="宋体" w:hAnsi="宋体" w:cs="宋体"/>
          <w:sz w:val="28"/>
          <w:szCs w:val="28"/>
        </w:rPr>
        <w:t>2019</w:t>
      </w:r>
      <w:r>
        <w:rPr>
          <w:rFonts w:hint="eastAsia" w:ascii="宋体" w:hAnsi="宋体" w:cs="宋体"/>
          <w:sz w:val="28"/>
          <w:szCs w:val="28"/>
        </w:rPr>
        <w:t>年部门决算公开单位构成包括：本单位本级，无二级单位决算。</w:t>
      </w:r>
    </w:p>
    <w:p>
      <w:pPr>
        <w:rPr>
          <w:rFonts w:ascii="宋体" w:cs="Times New Roman"/>
          <w:sz w:val="28"/>
          <w:szCs w:val="28"/>
        </w:rPr>
      </w:pPr>
      <w:r>
        <w:rPr>
          <w:rFonts w:hint="eastAsia" w:ascii="宋体" w:hAnsi="宋体" w:cs="宋体"/>
          <w:sz w:val="28"/>
          <w:szCs w:val="28"/>
        </w:rPr>
        <w:t>第二部分</w:t>
      </w:r>
      <w:r>
        <w:rPr>
          <w:rFonts w:ascii="宋体" w:hAnsi="宋体" w:cs="宋体"/>
          <w:sz w:val="28"/>
          <w:szCs w:val="28"/>
        </w:rPr>
        <w:t xml:space="preserve">   </w:t>
      </w:r>
      <w:r>
        <w:rPr>
          <w:rFonts w:hint="eastAsia" w:ascii="宋体" w:hAnsi="宋体" w:cs="宋体"/>
          <w:sz w:val="28"/>
          <w:szCs w:val="28"/>
        </w:rPr>
        <w:t>洞口县企业养老保险站</w:t>
      </w:r>
      <w:r>
        <w:rPr>
          <w:rFonts w:ascii="宋体" w:hAnsi="宋体" w:cs="宋体"/>
          <w:sz w:val="28"/>
          <w:szCs w:val="28"/>
        </w:rPr>
        <w:t>2019</w:t>
      </w:r>
      <w:r>
        <w:rPr>
          <w:rFonts w:hint="eastAsia" w:ascii="宋体" w:hAnsi="宋体" w:cs="宋体"/>
          <w:sz w:val="28"/>
          <w:szCs w:val="28"/>
        </w:rPr>
        <w:t>年度部门决算表</w:t>
      </w: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rPr>
          <w:rFonts w:ascii="宋体" w:cs="Times New Roman"/>
          <w:color w:val="000000"/>
          <w:kern w:val="0"/>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7"/>
        <w:tblW w:w="14070" w:type="dxa"/>
        <w:tblInd w:w="2" w:type="dxa"/>
        <w:tblLayout w:type="fixed"/>
        <w:tblCellMar>
          <w:top w:w="0" w:type="dxa"/>
          <w:left w:w="0" w:type="dxa"/>
          <w:bottom w:w="0" w:type="dxa"/>
          <w:right w:w="0" w:type="dxa"/>
        </w:tblCellMar>
      </w:tblPr>
      <w:tblGrid>
        <w:gridCol w:w="4215"/>
        <w:gridCol w:w="570"/>
        <w:gridCol w:w="1110"/>
        <w:gridCol w:w="5355"/>
        <w:gridCol w:w="570"/>
        <w:gridCol w:w="2250"/>
      </w:tblGrid>
      <w:tr>
        <w:tblPrEx>
          <w:tblLayout w:type="fixed"/>
          <w:tblCellMar>
            <w:top w:w="0" w:type="dxa"/>
            <w:left w:w="0" w:type="dxa"/>
            <w:bottom w:w="0" w:type="dxa"/>
            <w:right w:w="0" w:type="dxa"/>
          </w:tblCellMar>
        </w:tblPrEx>
        <w:trPr>
          <w:trHeight w:val="390" w:hRule="atLeast"/>
        </w:trPr>
        <w:tc>
          <w:tcPr>
            <w:tcW w:w="421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465"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30"/>
                <w:szCs w:val="30"/>
              </w:rPr>
              <w:t>收入支出决算总表</w:t>
            </w: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r>
        <w:tblPrEx>
          <w:tblLayout w:type="fixed"/>
          <w:tblCellMar>
            <w:top w:w="0" w:type="dxa"/>
            <w:left w:w="0" w:type="dxa"/>
            <w:bottom w:w="0" w:type="dxa"/>
            <w:right w:w="0" w:type="dxa"/>
          </w:tblCellMar>
        </w:tblPrEx>
        <w:trPr>
          <w:trHeight w:val="255" w:hRule="atLeast"/>
        </w:trPr>
        <w:tc>
          <w:tcPr>
            <w:tcW w:w="421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35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4215"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kern w:val="0"/>
                <w:sz w:val="20"/>
                <w:szCs w:val="20"/>
              </w:rPr>
            </w:pPr>
            <w:r>
              <w:rPr>
                <w:rFonts w:hint="eastAsia" w:ascii="宋体" w:hAnsi="宋体" w:cs="宋体"/>
                <w:color w:val="000000"/>
                <w:kern w:val="0"/>
                <w:sz w:val="20"/>
                <w:szCs w:val="20"/>
              </w:rPr>
              <w:t>部门：洞口县企业养老保险站</w:t>
            </w: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35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5895"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收入</w:t>
            </w:r>
          </w:p>
        </w:tc>
        <w:tc>
          <w:tcPr>
            <w:tcW w:w="817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支出</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行次</w:t>
            </w:r>
          </w:p>
        </w:tc>
        <w:tc>
          <w:tcPr>
            <w:tcW w:w="11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金额</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行次</w:t>
            </w:r>
          </w:p>
        </w:tc>
        <w:tc>
          <w:tcPr>
            <w:tcW w:w="22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金额</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2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一、一般公共预算财政拨款收入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294.68</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一、一般公共服务支出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29</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23.00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二、政府性基金预算财政拨款收入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二、外交支出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30</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三、上级补助收入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三、国防支出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31</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四、事业收入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四、公共安全支出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32</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五、经营收入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五、教育支出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33</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六、附属单位上缴收入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六、科学技术支出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34</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七、其他收入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七、文化旅游体育与传媒支出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35</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八、社会保障和就业支出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36</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265.76</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九、卫生健康支出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37</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10</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十、节能环保支出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38</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十一、城乡社区支出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39</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十二、农林水支出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40</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13</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十三、交通运输支出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41</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14</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十四、资源勘探信息等支出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42</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15</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十五、商业服务业等支出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43</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16</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十六、金融支出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44</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17</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十七、援助其他地区支出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45</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18</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十八、自然资源海洋气象等支出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46</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19</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十九、住房保障支出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47</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20</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二十、粮油物资储备支出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48</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21</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二十一、灾害防治及应急管理支出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49</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22</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二十二、其他支出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50</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23</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51</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本年收入合计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24</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294.68</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本年支出合计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52</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294.68</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用事业基金弥补收支差额</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25</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结余分配</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53</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年初结转和结余</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26</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年末结转和结余</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54</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27</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55</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总计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28</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294.68</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总计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56</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294.68</w:t>
            </w:r>
          </w:p>
        </w:tc>
      </w:tr>
      <w:tr>
        <w:tblPrEx>
          <w:tblLayout w:type="fixed"/>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注：本表反映部门本年度的总收支和年末结转结余情况。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4803" w:type="dxa"/>
        <w:tblInd w:w="2" w:type="dxa"/>
        <w:tblLayout w:type="fixed"/>
        <w:tblCellMar>
          <w:top w:w="0" w:type="dxa"/>
          <w:left w:w="0" w:type="dxa"/>
          <w:bottom w:w="0" w:type="dxa"/>
          <w:right w:w="0" w:type="dxa"/>
        </w:tblCellMar>
      </w:tblPr>
      <w:tblGrid>
        <w:gridCol w:w="3830"/>
        <w:gridCol w:w="270"/>
        <w:gridCol w:w="270"/>
        <w:gridCol w:w="4210"/>
        <w:gridCol w:w="761"/>
        <w:gridCol w:w="770"/>
        <w:gridCol w:w="562"/>
        <w:gridCol w:w="550"/>
        <w:gridCol w:w="1099"/>
        <w:gridCol w:w="1051"/>
        <w:gridCol w:w="1430"/>
      </w:tblGrid>
      <w:tr>
        <w:tblPrEx>
          <w:tblLayout w:type="fixed"/>
          <w:tblCellMar>
            <w:top w:w="0" w:type="dxa"/>
            <w:left w:w="0" w:type="dxa"/>
            <w:bottom w:w="0" w:type="dxa"/>
            <w:right w:w="0" w:type="dxa"/>
          </w:tblCellMar>
        </w:tblPrEx>
        <w:trPr>
          <w:trHeight w:val="390" w:hRule="atLeast"/>
        </w:trPr>
        <w:tc>
          <w:tcPr>
            <w:tcW w:w="38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853" w:type="dxa"/>
            <w:gridSpan w:val="5"/>
            <w:tcBorders>
              <w:top w:val="nil"/>
              <w:left w:val="nil"/>
              <w:bottom w:val="nil"/>
              <w:right w:val="nil"/>
            </w:tcBorders>
            <w:tcMar>
              <w:top w:w="15" w:type="dxa"/>
              <w:left w:w="15" w:type="dxa"/>
              <w:right w:w="15" w:type="dxa"/>
            </w:tcMar>
            <w:vAlign w:val="bottom"/>
          </w:tcPr>
          <w:p>
            <w:pPr>
              <w:ind w:firstLine="1500" w:firstLineChars="500"/>
              <w:rPr>
                <w:rFonts w:ascii="Arial" w:hAnsi="Arial" w:cs="Arial"/>
                <w:color w:val="000000"/>
                <w:sz w:val="20"/>
                <w:szCs w:val="20"/>
              </w:rPr>
            </w:pPr>
            <w:r>
              <w:rPr>
                <w:rFonts w:hint="eastAsia" w:ascii="宋体" w:hAnsi="宋体" w:cs="宋体"/>
                <w:color w:val="000000"/>
                <w:kern w:val="0"/>
                <w:sz w:val="30"/>
                <w:szCs w:val="30"/>
              </w:rPr>
              <w:t>收入决算表</w:t>
            </w:r>
          </w:p>
        </w:tc>
        <w:tc>
          <w:tcPr>
            <w:tcW w:w="10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r>
        <w:tblPrEx>
          <w:tblLayout w:type="fixed"/>
          <w:tblCellMar>
            <w:top w:w="0" w:type="dxa"/>
            <w:left w:w="0" w:type="dxa"/>
            <w:bottom w:w="0" w:type="dxa"/>
            <w:right w:w="0" w:type="dxa"/>
          </w:tblCellMar>
        </w:tblPrEx>
        <w:trPr>
          <w:trHeight w:val="255" w:hRule="atLeast"/>
        </w:trPr>
        <w:tc>
          <w:tcPr>
            <w:tcW w:w="38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21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6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383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kern w:val="0"/>
                <w:sz w:val="20"/>
                <w:szCs w:val="20"/>
              </w:rPr>
            </w:pPr>
            <w:r>
              <w:rPr>
                <w:rFonts w:hint="eastAsia" w:ascii="宋体" w:hAnsi="宋体" w:cs="宋体"/>
                <w:color w:val="000000"/>
                <w:kern w:val="0"/>
                <w:sz w:val="20"/>
                <w:szCs w:val="20"/>
              </w:rPr>
              <w:t>部门：洞口县企业养老保险站</w:t>
            </w: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21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6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8580"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76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本年收入合计</w:t>
            </w:r>
          </w:p>
        </w:tc>
        <w:tc>
          <w:tcPr>
            <w:tcW w:w="77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财政拨款收入</w:t>
            </w:r>
          </w:p>
        </w:tc>
        <w:tc>
          <w:tcPr>
            <w:tcW w:w="56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上级补助收入</w:t>
            </w:r>
          </w:p>
        </w:tc>
        <w:tc>
          <w:tcPr>
            <w:tcW w:w="5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事业收入</w:t>
            </w:r>
          </w:p>
        </w:tc>
        <w:tc>
          <w:tcPr>
            <w:tcW w:w="109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经营收入</w:t>
            </w:r>
          </w:p>
        </w:tc>
        <w:tc>
          <w:tcPr>
            <w:tcW w:w="105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附属单位上缴收入</w:t>
            </w:r>
          </w:p>
        </w:tc>
        <w:tc>
          <w:tcPr>
            <w:tcW w:w="143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其他收入</w:t>
            </w:r>
          </w:p>
        </w:tc>
      </w:tr>
      <w:tr>
        <w:tblPrEx>
          <w:tblLayout w:type="fixed"/>
          <w:tblCellMar>
            <w:top w:w="0" w:type="dxa"/>
            <w:left w:w="0" w:type="dxa"/>
            <w:bottom w:w="0" w:type="dxa"/>
            <w:right w:w="0" w:type="dxa"/>
          </w:tblCellMar>
        </w:tblPrEx>
        <w:trPr>
          <w:trHeight w:val="312" w:hRule="atLeast"/>
        </w:trPr>
        <w:tc>
          <w:tcPr>
            <w:tcW w:w="437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功能分类科目编码</w:t>
            </w:r>
          </w:p>
        </w:tc>
        <w:tc>
          <w:tcPr>
            <w:tcW w:w="42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7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437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42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437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42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6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7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6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8580"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7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7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56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5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09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0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r>
      <w:tr>
        <w:tblPrEx>
          <w:tblLayout w:type="fixed"/>
          <w:tblCellMar>
            <w:top w:w="0" w:type="dxa"/>
            <w:left w:w="0" w:type="dxa"/>
            <w:bottom w:w="0" w:type="dxa"/>
            <w:right w:w="0" w:type="dxa"/>
          </w:tblCellMar>
        </w:tblPrEx>
        <w:trPr>
          <w:trHeight w:val="308" w:hRule="atLeast"/>
        </w:trPr>
        <w:tc>
          <w:tcPr>
            <w:tcW w:w="8580"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294.68</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294.68</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201</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一般公共服务支出</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23.00</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23.00</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20199</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其他一般公共服务支出</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23.00</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23.00</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2019999</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其他一般公共服务支出</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23.00</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23.00</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社会保障和就业支出</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265.76</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265.76</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20801</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人力资源和社会保障管理事务</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201.39</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201.39</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2080109</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社会保险经办机构</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201.39</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201.39</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20806</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企业改革补助</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5.00</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5.00</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2080601</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企业关闭破产补助</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hAnsi="宋体" w:cs="宋体"/>
                <w:color w:val="000000"/>
                <w:kern w:val="0"/>
                <w:sz w:val="22"/>
                <w:szCs w:val="22"/>
              </w:rPr>
              <w:t>5.00</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hAnsi="宋体" w:cs="宋体"/>
                <w:color w:val="000000"/>
                <w:kern w:val="0"/>
                <w:sz w:val="22"/>
                <w:szCs w:val="22"/>
              </w:rPr>
              <w:t>5.00</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20807</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就业补助</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3.00</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3.00</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2080704</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社会保险补贴</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3.00</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3.00</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20826</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财政对基本养老保险基金的补助</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44.16</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44.16</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2082601</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财政对企业职工基本养老保险基金的补助</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44.16</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44.16</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20899</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其他社会保障和就业支出</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12.21</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12.21</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2089901</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其他社会保障和就业支出</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12.21</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12.21</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213</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农林水支出</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2.91</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2.91</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21305</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扶贫</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2.91</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2.91</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2130599</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其他扶贫支出</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2.91</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2.91</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216</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商业服务业等支出</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3.00</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3.00</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21606</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涉外发展服务支出</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3.00</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3.00</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2160699</w:t>
            </w:r>
          </w:p>
        </w:tc>
        <w:tc>
          <w:tcPr>
            <w:tcW w:w="421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其他涉外发展服务支出</w:t>
            </w:r>
          </w:p>
        </w:tc>
        <w:tc>
          <w:tcPr>
            <w:tcW w:w="7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3.00</w:t>
            </w:r>
          </w:p>
        </w:tc>
        <w:tc>
          <w:tcPr>
            <w:tcW w:w="7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3.00</w:t>
            </w:r>
          </w:p>
        </w:tc>
        <w:tc>
          <w:tcPr>
            <w:tcW w:w="5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14803"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注：本表反映部门本年度取得的各项收入情况。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4174" w:type="dxa"/>
        <w:tblInd w:w="-106" w:type="dxa"/>
        <w:tblLayout w:type="fixed"/>
        <w:tblCellMar>
          <w:top w:w="0" w:type="dxa"/>
          <w:left w:w="108" w:type="dxa"/>
          <w:bottom w:w="0" w:type="dxa"/>
          <w:right w:w="108" w:type="dxa"/>
        </w:tblCellMar>
      </w:tblPr>
      <w:tblGrid>
        <w:gridCol w:w="545"/>
        <w:gridCol w:w="544"/>
        <w:gridCol w:w="545"/>
        <w:gridCol w:w="4396"/>
        <w:gridCol w:w="1310"/>
        <w:gridCol w:w="1716"/>
        <w:gridCol w:w="945"/>
        <w:gridCol w:w="1233"/>
        <w:gridCol w:w="945"/>
        <w:gridCol w:w="1995"/>
      </w:tblGrid>
      <w:tr>
        <w:tblPrEx>
          <w:tblLayout w:type="fixed"/>
          <w:tblCellMar>
            <w:top w:w="0" w:type="dxa"/>
            <w:left w:w="108" w:type="dxa"/>
            <w:bottom w:w="0" w:type="dxa"/>
            <w:right w:w="108" w:type="dxa"/>
          </w:tblCellMar>
        </w:tblPrEx>
        <w:trPr>
          <w:trHeight w:val="390" w:hRule="atLeast"/>
        </w:trPr>
        <w:tc>
          <w:tcPr>
            <w:tcW w:w="5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4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3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6" w:type="dxa"/>
            <w:tcBorders>
              <w:top w:val="nil"/>
              <w:left w:val="nil"/>
              <w:bottom w:val="nil"/>
              <w:right w:val="nil"/>
            </w:tcBorders>
            <w:vAlign w:val="bottom"/>
          </w:tcPr>
          <w:p>
            <w:pPr>
              <w:widowControl/>
              <w:jc w:val="center"/>
              <w:rPr>
                <w:rFonts w:ascii="宋体" w:cs="Times New Roman"/>
                <w:color w:val="000000"/>
                <w:kern w:val="0"/>
                <w:sz w:val="30"/>
                <w:szCs w:val="30"/>
              </w:rPr>
            </w:pPr>
            <w:r>
              <w:rPr>
                <w:rFonts w:hint="eastAsia" w:ascii="宋体" w:hAnsi="宋体" w:cs="宋体"/>
                <w:color w:val="000000"/>
                <w:kern w:val="0"/>
                <w:sz w:val="30"/>
                <w:szCs w:val="30"/>
              </w:rPr>
              <w:t>支出决算表</w:t>
            </w:r>
          </w:p>
        </w:tc>
        <w:tc>
          <w:tcPr>
            <w:tcW w:w="9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9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5" w:hRule="atLeast"/>
        </w:trPr>
        <w:tc>
          <w:tcPr>
            <w:tcW w:w="5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4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3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95" w:type="dxa"/>
            <w:tcBorders>
              <w:top w:val="nil"/>
              <w:left w:val="nil"/>
              <w:bottom w:val="nil"/>
              <w:right w:val="nil"/>
            </w:tcBorders>
            <w:vAlign w:val="bottom"/>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6030" w:type="dxa"/>
            <w:gridSpan w:val="4"/>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部门：洞口县企业养老保险站</w:t>
            </w:r>
          </w:p>
        </w:tc>
        <w:tc>
          <w:tcPr>
            <w:tcW w:w="13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95" w:type="dxa"/>
            <w:tcBorders>
              <w:top w:val="nil"/>
              <w:left w:val="nil"/>
              <w:bottom w:val="nil"/>
              <w:right w:val="nil"/>
            </w:tcBorders>
            <w:vAlign w:val="bottom"/>
          </w:tcPr>
          <w:p>
            <w:pPr>
              <w:widowControl/>
              <w:jc w:val="right"/>
              <w:rPr>
                <w:rFonts w:ascii="宋体" w:cs="Times New Roman"/>
                <w:color w:val="000000"/>
                <w:kern w:val="0"/>
                <w:sz w:val="20"/>
                <w:szCs w:val="20"/>
              </w:rPr>
            </w:pPr>
            <w:r>
              <w:rPr>
                <w:rFonts w:hint="eastAsia" w:ascii="宋体" w:hAnsi="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603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w:t>
            </w:r>
          </w:p>
        </w:tc>
        <w:tc>
          <w:tcPr>
            <w:tcW w:w="131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本年支出合计</w:t>
            </w:r>
          </w:p>
        </w:tc>
        <w:tc>
          <w:tcPr>
            <w:tcW w:w="171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94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c>
          <w:tcPr>
            <w:tcW w:w="123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上缴上级支出</w:t>
            </w:r>
          </w:p>
        </w:tc>
        <w:tc>
          <w:tcPr>
            <w:tcW w:w="94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经营支出</w:t>
            </w:r>
          </w:p>
        </w:tc>
        <w:tc>
          <w:tcPr>
            <w:tcW w:w="199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312" w:hRule="atLeast"/>
        </w:trPr>
        <w:tc>
          <w:tcPr>
            <w:tcW w:w="163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功能分类科目编码</w:t>
            </w:r>
          </w:p>
        </w:tc>
        <w:tc>
          <w:tcPr>
            <w:tcW w:w="439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1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7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23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9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63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439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31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7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23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9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63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439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31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7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23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9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603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栏次</w:t>
            </w:r>
          </w:p>
        </w:tc>
        <w:tc>
          <w:tcPr>
            <w:tcW w:w="131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w:t>
            </w:r>
          </w:p>
        </w:tc>
        <w:tc>
          <w:tcPr>
            <w:tcW w:w="171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w:t>
            </w:r>
          </w:p>
        </w:tc>
        <w:tc>
          <w:tcPr>
            <w:tcW w:w="94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w:t>
            </w:r>
          </w:p>
        </w:tc>
        <w:tc>
          <w:tcPr>
            <w:tcW w:w="123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w:t>
            </w:r>
          </w:p>
        </w:tc>
        <w:tc>
          <w:tcPr>
            <w:tcW w:w="94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w:t>
            </w:r>
          </w:p>
        </w:tc>
        <w:tc>
          <w:tcPr>
            <w:tcW w:w="19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603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b/>
                <w:bCs/>
                <w:color w:val="000000"/>
                <w:kern w:val="0"/>
                <w:sz w:val="22"/>
                <w:szCs w:val="22"/>
              </w:rPr>
            </w:pPr>
            <w:r>
              <w:rPr>
                <w:rFonts w:ascii="宋体" w:hAnsi="宋体" w:cs="宋体"/>
                <w:b/>
                <w:bCs/>
                <w:color w:val="000000"/>
                <w:kern w:val="0"/>
                <w:sz w:val="22"/>
                <w:szCs w:val="22"/>
              </w:rPr>
              <w:t>294.68</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b/>
                <w:bCs/>
                <w:color w:val="000000"/>
                <w:kern w:val="0"/>
                <w:sz w:val="22"/>
                <w:szCs w:val="22"/>
              </w:rPr>
            </w:pPr>
            <w:r>
              <w:rPr>
                <w:rFonts w:ascii="宋体" w:hAnsi="宋体" w:cs="宋体"/>
                <w:b/>
                <w:bCs/>
                <w:color w:val="000000"/>
                <w:kern w:val="0"/>
                <w:sz w:val="22"/>
                <w:szCs w:val="22"/>
              </w:rPr>
              <w:t>294.68</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b/>
                <w:bCs/>
                <w:color w:val="000000"/>
                <w:kern w:val="0"/>
                <w:sz w:val="22"/>
                <w:szCs w:val="22"/>
              </w:rPr>
            </w:pPr>
            <w:r>
              <w:rPr>
                <w:rFonts w:ascii="宋体" w:cs="宋体"/>
                <w:b/>
                <w:bCs/>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b/>
                <w:bCs/>
                <w:color w:val="000000"/>
                <w:kern w:val="0"/>
                <w:sz w:val="22"/>
                <w:szCs w:val="22"/>
              </w:rPr>
            </w:pPr>
            <w:r>
              <w:rPr>
                <w:rFonts w:ascii="宋体" w:cs="宋体"/>
                <w:b/>
                <w:bCs/>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b/>
                <w:bCs/>
                <w:color w:val="000000"/>
                <w:kern w:val="0"/>
                <w:sz w:val="22"/>
                <w:szCs w:val="22"/>
              </w:rPr>
            </w:pPr>
            <w:r>
              <w:rPr>
                <w:rFonts w:ascii="宋体" w:cs="宋体"/>
                <w:b/>
                <w:bCs/>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b/>
                <w:bCs/>
                <w:color w:val="000000"/>
                <w:kern w:val="0"/>
                <w:sz w:val="22"/>
                <w:szCs w:val="22"/>
              </w:rPr>
            </w:pPr>
            <w:r>
              <w:rPr>
                <w:rFonts w:ascii="宋体" w:cs="宋体"/>
                <w:b/>
                <w:bCs/>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201</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一般公共服务支出</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20199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其他一般公共服务支出</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2019999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其他一般公共服务支出</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社会保障和就业支出</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265.76</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265.76</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20801</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人力资源和社会保障管理事务</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201.39</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201.39</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2080109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社会保险经办机构</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201.39</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201.39</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20806</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企业改革补助</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5.00</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5.00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2080601</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企业关闭破产补助</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5.00</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5.00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20807</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就业补助</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2080704</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社会保险补贴</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20826</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财政对基本养老保险基金的补助</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44.16</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44.16</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2082601</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财政对企业职工基本养老保险基金的补助</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44.16</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44.16</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20899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其他社会保障和就业支出</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12.21</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12.21</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2089901</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其他社会保障和就业支出</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12.21</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12.21</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213</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农林水支出</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21305</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扶贫</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2130599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其他扶贫支出</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216</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商业服务业等支出</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21606</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涉外发展服务支出</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63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2160699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其他涉外发展服务支出</w:t>
            </w:r>
          </w:p>
        </w:tc>
        <w:tc>
          <w:tcPr>
            <w:tcW w:w="1310"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94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95"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4174" w:type="dxa"/>
            <w:gridSpan w:val="10"/>
            <w:tcBorders>
              <w:top w:val="nil"/>
              <w:left w:val="nil"/>
              <w:bottom w:val="nil"/>
              <w:right w:val="nil"/>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注：本表反映部门本年度各项支出情况。</w:t>
            </w:r>
          </w:p>
        </w:tc>
      </w:tr>
    </w:tbl>
    <w:p>
      <w:pPr>
        <w:widowControl/>
        <w:rPr>
          <w:rFonts w:ascii="宋体" w:cs="Times New Roman"/>
          <w:color w:val="000000"/>
          <w:kern w:val="0"/>
          <w:sz w:val="36"/>
          <w:szCs w:val="36"/>
        </w:rPr>
      </w:pPr>
    </w:p>
    <w:p>
      <w:pPr>
        <w:widowControl/>
        <w:rPr>
          <w:rFonts w:ascii="宋体" w:cs="Times New Roman"/>
          <w:color w:val="000000"/>
          <w:kern w:val="0"/>
          <w:sz w:val="36"/>
          <w:szCs w:val="36"/>
        </w:rPr>
      </w:pPr>
    </w:p>
    <w:p>
      <w:pPr>
        <w:widowControl/>
        <w:rPr>
          <w:rFonts w:ascii="宋体" w:cs="Times New Roman"/>
          <w:color w:val="000000"/>
          <w:kern w:val="0"/>
          <w:sz w:val="36"/>
          <w:szCs w:val="36"/>
        </w:rPr>
      </w:pPr>
    </w:p>
    <w:p>
      <w:pPr>
        <w:widowControl/>
        <w:rPr>
          <w:rFonts w:ascii="宋体" w:cs="Times New Roman"/>
          <w:color w:val="000000"/>
          <w:kern w:val="0"/>
          <w:sz w:val="36"/>
          <w:szCs w:val="36"/>
        </w:rPr>
      </w:pPr>
    </w:p>
    <w:p>
      <w:pPr>
        <w:widowControl/>
        <w:rPr>
          <w:rFonts w:ascii="宋体" w:cs="Times New Roman"/>
          <w:color w:val="000000"/>
          <w:kern w:val="0"/>
          <w:sz w:val="36"/>
          <w:szCs w:val="36"/>
        </w:rPr>
      </w:pPr>
    </w:p>
    <w:tbl>
      <w:tblPr>
        <w:tblStyle w:val="7"/>
        <w:tblW w:w="14174" w:type="dxa"/>
        <w:tblInd w:w="-106" w:type="dxa"/>
        <w:tblLayout w:type="fixed"/>
        <w:tblCellMar>
          <w:top w:w="0" w:type="dxa"/>
          <w:left w:w="108" w:type="dxa"/>
          <w:bottom w:w="0" w:type="dxa"/>
          <w:right w:w="108" w:type="dxa"/>
        </w:tblCellMar>
      </w:tblPr>
      <w:tblGrid>
        <w:gridCol w:w="3076"/>
        <w:gridCol w:w="595"/>
        <w:gridCol w:w="876"/>
        <w:gridCol w:w="3816"/>
        <w:gridCol w:w="595"/>
        <w:gridCol w:w="876"/>
        <w:gridCol w:w="1988"/>
        <w:gridCol w:w="2352"/>
      </w:tblGrid>
      <w:tr>
        <w:tblPrEx>
          <w:tblLayout w:type="fixed"/>
          <w:tblCellMar>
            <w:top w:w="0" w:type="dxa"/>
            <w:left w:w="108" w:type="dxa"/>
            <w:bottom w:w="0" w:type="dxa"/>
            <w:right w:w="108" w:type="dxa"/>
          </w:tblCellMar>
        </w:tblPrEx>
        <w:trPr>
          <w:trHeight w:val="390" w:hRule="atLeast"/>
        </w:trPr>
        <w:tc>
          <w:tcPr>
            <w:tcW w:w="30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9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816" w:type="dxa"/>
            <w:tcBorders>
              <w:top w:val="nil"/>
              <w:left w:val="nil"/>
              <w:bottom w:val="nil"/>
              <w:right w:val="nil"/>
            </w:tcBorders>
            <w:vAlign w:val="bottom"/>
          </w:tcPr>
          <w:p>
            <w:pPr>
              <w:widowControl/>
              <w:jc w:val="center"/>
              <w:rPr>
                <w:rFonts w:ascii="宋体" w:cs="Times New Roman"/>
                <w:color w:val="000000"/>
                <w:kern w:val="0"/>
                <w:sz w:val="30"/>
                <w:szCs w:val="30"/>
              </w:rPr>
            </w:pPr>
            <w:r>
              <w:rPr>
                <w:rFonts w:hint="eastAsia" w:ascii="宋体" w:hAnsi="宋体" w:cs="宋体"/>
                <w:color w:val="000000"/>
                <w:kern w:val="0"/>
                <w:sz w:val="30"/>
                <w:szCs w:val="30"/>
              </w:rPr>
              <w:t>财政拨款收入支出决算总表</w:t>
            </w:r>
          </w:p>
        </w:tc>
        <w:tc>
          <w:tcPr>
            <w:tcW w:w="59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8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52"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5" w:hRule="atLeast"/>
        </w:trPr>
        <w:tc>
          <w:tcPr>
            <w:tcW w:w="30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9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8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9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8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52" w:type="dxa"/>
            <w:tcBorders>
              <w:top w:val="nil"/>
              <w:left w:val="nil"/>
              <w:bottom w:val="nil"/>
              <w:right w:val="nil"/>
            </w:tcBorders>
            <w:vAlign w:val="bottom"/>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3076"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部门：洞口县企业养老保险站</w:t>
            </w:r>
          </w:p>
        </w:tc>
        <w:tc>
          <w:tcPr>
            <w:tcW w:w="59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8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9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8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52" w:type="dxa"/>
            <w:tcBorders>
              <w:top w:val="nil"/>
              <w:left w:val="nil"/>
              <w:bottom w:val="nil"/>
              <w:right w:val="nil"/>
            </w:tcBorders>
            <w:vAlign w:val="bottom"/>
          </w:tcPr>
          <w:p>
            <w:pPr>
              <w:widowControl/>
              <w:jc w:val="right"/>
              <w:rPr>
                <w:rFonts w:ascii="宋体" w:cs="Times New Roman"/>
                <w:color w:val="000000"/>
                <w:kern w:val="0"/>
                <w:sz w:val="20"/>
                <w:szCs w:val="20"/>
              </w:rPr>
            </w:pPr>
            <w:r>
              <w:rPr>
                <w:rFonts w:hint="eastAsia" w:ascii="宋体" w:hAnsi="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4547"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9627"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Layout w:type="fixed"/>
          <w:tblCellMar>
            <w:top w:w="0" w:type="dxa"/>
            <w:left w:w="108" w:type="dxa"/>
            <w:bottom w:w="0" w:type="dxa"/>
            <w:right w:w="108" w:type="dxa"/>
          </w:tblCellMar>
        </w:tblPrEx>
        <w:trPr>
          <w:trHeight w:val="312" w:hRule="atLeast"/>
        </w:trPr>
        <w:tc>
          <w:tcPr>
            <w:tcW w:w="307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w:t>
            </w:r>
          </w:p>
        </w:tc>
        <w:tc>
          <w:tcPr>
            <w:tcW w:w="59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行次</w:t>
            </w:r>
          </w:p>
        </w:tc>
        <w:tc>
          <w:tcPr>
            <w:tcW w:w="8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金额</w:t>
            </w:r>
          </w:p>
        </w:tc>
        <w:tc>
          <w:tcPr>
            <w:tcW w:w="381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w:t>
            </w:r>
          </w:p>
        </w:tc>
        <w:tc>
          <w:tcPr>
            <w:tcW w:w="59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行次</w:t>
            </w:r>
          </w:p>
        </w:tc>
        <w:tc>
          <w:tcPr>
            <w:tcW w:w="8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98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一般公共预算财政拨款</w:t>
            </w:r>
          </w:p>
        </w:tc>
        <w:tc>
          <w:tcPr>
            <w:tcW w:w="235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615" w:hRule="atLeast"/>
        </w:trPr>
        <w:tc>
          <w:tcPr>
            <w:tcW w:w="30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595"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87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381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595"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87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988"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2352"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栏次</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　</w:t>
            </w:r>
          </w:p>
        </w:tc>
        <w:tc>
          <w:tcPr>
            <w:tcW w:w="87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w:t>
            </w:r>
          </w:p>
        </w:tc>
        <w:tc>
          <w:tcPr>
            <w:tcW w:w="381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栏次</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　</w:t>
            </w:r>
          </w:p>
        </w:tc>
        <w:tc>
          <w:tcPr>
            <w:tcW w:w="87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w:t>
            </w:r>
          </w:p>
        </w:tc>
        <w:tc>
          <w:tcPr>
            <w:tcW w:w="198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w:t>
            </w:r>
          </w:p>
        </w:tc>
        <w:tc>
          <w:tcPr>
            <w:tcW w:w="2352"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一、一般公共预算财政拨款</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294.68</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一、一般公共服务支出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30</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二、政府性基金预算财政拨款</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二、外交支出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31</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三、国防支出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32</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四、公共安全支出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33</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五、教育支出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34</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6</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六、科学技术支出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35</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7</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七、文化旅游体育与传媒支出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36</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8</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八、社会保障和就业支出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37</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265.76</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265.76</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9</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九、卫生健康支出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38</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10</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十、节能环保支出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39</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11</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十一、城乡社区支出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40</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12</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十二、农林水支出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41</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13</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十三、交通运输支出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42</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14</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十四、资源勘探信息等支出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43</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15</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十五、商业服务业等支出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44</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16</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十六、金融支出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45</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17</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十七、援助其他地区支出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46</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18</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十八、自然资源海洋气象等支出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47</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19</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十九、住房保障支出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48</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二十、粮油物资储备支出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49</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21</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二十一、灾害防治及应急管理支出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50</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22</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二十二、其他支出</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51</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23</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52</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本年收入合计</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24</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294.68</w:t>
            </w:r>
          </w:p>
        </w:tc>
        <w:tc>
          <w:tcPr>
            <w:tcW w:w="381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本年支出合计</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53</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294.68</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294.68</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年初财政拨款结转和结余</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25</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年末财政拨款结转和结余</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54</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一、一般公共预算财政拨款</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26</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55</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二、政府性基金预算财政拨款</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27</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56</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28</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381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57</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总计</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29</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294.68</w:t>
            </w:r>
          </w:p>
        </w:tc>
        <w:tc>
          <w:tcPr>
            <w:tcW w:w="381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总计</w:t>
            </w:r>
          </w:p>
        </w:tc>
        <w:tc>
          <w:tcPr>
            <w:tcW w:w="59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58</w:t>
            </w:r>
          </w:p>
        </w:tc>
        <w:tc>
          <w:tcPr>
            <w:tcW w:w="87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294.68</w:t>
            </w:r>
          </w:p>
        </w:tc>
        <w:tc>
          <w:tcPr>
            <w:tcW w:w="1988"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294.68</w:t>
            </w:r>
          </w:p>
        </w:tc>
        <w:tc>
          <w:tcPr>
            <w:tcW w:w="2352"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4174" w:type="dxa"/>
            <w:gridSpan w:val="8"/>
            <w:tcBorders>
              <w:top w:val="nil"/>
              <w:left w:val="nil"/>
              <w:bottom w:val="nil"/>
              <w:right w:val="nil"/>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注：本表反映部门本年度一般公共预算财政拨款和政府性基金预算财政拨款的总收支和年末结转结余情况。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3801" w:type="dxa"/>
        <w:tblInd w:w="-106" w:type="dxa"/>
        <w:tblLayout w:type="fixed"/>
        <w:tblCellMar>
          <w:top w:w="0" w:type="dxa"/>
          <w:left w:w="108" w:type="dxa"/>
          <w:bottom w:w="0" w:type="dxa"/>
          <w:right w:w="108" w:type="dxa"/>
        </w:tblCellMar>
      </w:tblPr>
      <w:tblGrid>
        <w:gridCol w:w="659"/>
        <w:gridCol w:w="659"/>
        <w:gridCol w:w="659"/>
        <w:gridCol w:w="4396"/>
        <w:gridCol w:w="4716"/>
        <w:gridCol w:w="1096"/>
        <w:gridCol w:w="1616"/>
      </w:tblGrid>
      <w:tr>
        <w:tblPrEx>
          <w:tblLayout w:type="fixed"/>
          <w:tblCellMar>
            <w:top w:w="0" w:type="dxa"/>
            <w:left w:w="108" w:type="dxa"/>
            <w:bottom w:w="0" w:type="dxa"/>
            <w:right w:w="108" w:type="dxa"/>
          </w:tblCellMar>
        </w:tblPrEx>
        <w:trPr>
          <w:trHeight w:val="390" w:hRule="atLeast"/>
        </w:trPr>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3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716" w:type="dxa"/>
            <w:tcBorders>
              <w:top w:val="nil"/>
              <w:left w:val="nil"/>
              <w:bottom w:val="nil"/>
              <w:right w:val="nil"/>
            </w:tcBorders>
            <w:vAlign w:val="bottom"/>
          </w:tcPr>
          <w:p>
            <w:pPr>
              <w:widowControl/>
              <w:jc w:val="center"/>
              <w:rPr>
                <w:rFonts w:ascii="宋体" w:cs="Times New Roman"/>
                <w:color w:val="000000"/>
                <w:kern w:val="0"/>
                <w:sz w:val="30"/>
                <w:szCs w:val="30"/>
              </w:rPr>
            </w:pPr>
            <w:r>
              <w:rPr>
                <w:rFonts w:hint="eastAsia" w:ascii="宋体" w:hAnsi="宋体" w:cs="宋体"/>
                <w:color w:val="000000"/>
                <w:kern w:val="0"/>
                <w:sz w:val="30"/>
                <w:szCs w:val="30"/>
              </w:rPr>
              <w:t>一般公共预算财政拨款支出决算表</w:t>
            </w:r>
          </w:p>
        </w:tc>
        <w:tc>
          <w:tcPr>
            <w:tcW w:w="10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6"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5" w:hRule="atLeast"/>
        </w:trPr>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3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7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6" w:type="dxa"/>
            <w:tcBorders>
              <w:top w:val="nil"/>
              <w:left w:val="nil"/>
              <w:bottom w:val="nil"/>
              <w:right w:val="nil"/>
            </w:tcBorders>
            <w:vAlign w:val="bottom"/>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05</w:t>
            </w:r>
            <w:r>
              <w:rPr>
                <w:rFonts w:hint="eastAsia" w:ascii="宋体" w:hAnsi="宋体" w:cs="宋体"/>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6373" w:type="dxa"/>
            <w:gridSpan w:val="4"/>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部门：洞口县企业养老保险站</w:t>
            </w:r>
          </w:p>
        </w:tc>
        <w:tc>
          <w:tcPr>
            <w:tcW w:w="47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6" w:type="dxa"/>
            <w:tcBorders>
              <w:top w:val="nil"/>
              <w:left w:val="nil"/>
              <w:bottom w:val="nil"/>
              <w:right w:val="nil"/>
            </w:tcBorders>
            <w:vAlign w:val="bottom"/>
          </w:tcPr>
          <w:p>
            <w:pPr>
              <w:widowControl/>
              <w:jc w:val="right"/>
              <w:rPr>
                <w:rFonts w:ascii="宋体" w:cs="Times New Roman"/>
                <w:color w:val="000000"/>
                <w:kern w:val="0"/>
                <w:sz w:val="20"/>
                <w:szCs w:val="20"/>
              </w:rPr>
            </w:pPr>
            <w:r>
              <w:rPr>
                <w:rFonts w:hint="eastAsia" w:ascii="宋体" w:hAnsi="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6373"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w:t>
            </w:r>
          </w:p>
        </w:tc>
        <w:tc>
          <w:tcPr>
            <w:tcW w:w="7428"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本年支出</w:t>
            </w:r>
          </w:p>
        </w:tc>
      </w:tr>
      <w:tr>
        <w:tblPrEx>
          <w:tblLayout w:type="fixed"/>
          <w:tblCellMar>
            <w:top w:w="0" w:type="dxa"/>
            <w:left w:w="108" w:type="dxa"/>
            <w:bottom w:w="0" w:type="dxa"/>
            <w:right w:w="108" w:type="dxa"/>
          </w:tblCellMar>
        </w:tblPrEx>
        <w:trPr>
          <w:trHeight w:val="312" w:hRule="atLeast"/>
        </w:trPr>
        <w:tc>
          <w:tcPr>
            <w:tcW w:w="197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功能分类科目编码</w:t>
            </w:r>
          </w:p>
        </w:tc>
        <w:tc>
          <w:tcPr>
            <w:tcW w:w="439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71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小计</w:t>
            </w:r>
          </w:p>
        </w:tc>
        <w:tc>
          <w:tcPr>
            <w:tcW w:w="109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trPr>
        <w:tc>
          <w:tcPr>
            <w:tcW w:w="197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439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471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09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61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97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439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471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09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61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6373"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栏次</w:t>
            </w:r>
          </w:p>
        </w:tc>
        <w:tc>
          <w:tcPr>
            <w:tcW w:w="471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w:t>
            </w:r>
          </w:p>
        </w:tc>
        <w:tc>
          <w:tcPr>
            <w:tcW w:w="109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w:t>
            </w:r>
          </w:p>
        </w:tc>
        <w:tc>
          <w:tcPr>
            <w:tcW w:w="161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6373"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b/>
                <w:bCs/>
                <w:color w:val="000000"/>
                <w:kern w:val="0"/>
                <w:sz w:val="22"/>
                <w:szCs w:val="22"/>
              </w:rPr>
            </w:pPr>
            <w:r>
              <w:rPr>
                <w:rFonts w:ascii="宋体" w:hAnsi="宋体" w:cs="宋体"/>
                <w:b/>
                <w:bCs/>
                <w:color w:val="000000"/>
                <w:kern w:val="0"/>
                <w:sz w:val="22"/>
                <w:szCs w:val="22"/>
              </w:rPr>
              <w:t>294.68</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b/>
                <w:bCs/>
                <w:color w:val="000000"/>
                <w:kern w:val="0"/>
                <w:sz w:val="22"/>
                <w:szCs w:val="22"/>
              </w:rPr>
            </w:pPr>
            <w:r>
              <w:rPr>
                <w:rFonts w:ascii="宋体" w:hAnsi="宋体" w:cs="宋体"/>
                <w:b/>
                <w:bCs/>
                <w:color w:val="000000"/>
                <w:kern w:val="0"/>
                <w:sz w:val="22"/>
                <w:szCs w:val="22"/>
              </w:rPr>
              <w:t>294.68</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b/>
                <w:bCs/>
                <w:color w:val="000000"/>
                <w:kern w:val="0"/>
                <w:sz w:val="22"/>
                <w:szCs w:val="22"/>
              </w:rPr>
            </w:pPr>
            <w:r>
              <w:rPr>
                <w:rFonts w:ascii="宋体" w:cs="宋体"/>
                <w:b/>
                <w:bCs/>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201</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一般公共服务支出</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20199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其他一般公共服务支出</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2019999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其他一般公共服务支出</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23.00</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社会保障和就业支出</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265.76</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265.76</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20801</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人力资源和社会保障管理事务</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201.39</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201.39</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2080109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社会保险经办机构</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201.39</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201.39</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20806</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企业改革补助</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5.00</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5.00</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2080601</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企业关闭破产补助</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5.00</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5.00</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20807</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就业补助</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2080704</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社会保险补贴</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20826</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财政对基本养老保险基金的补助</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44.16</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44.16</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2082601</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财政对企业职工基本养老保险基金的补助</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44.16</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44.16</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20899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其他社会保障和就业支出</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12.21</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12.21</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2089901</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其他社会保障和就业支出</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12.21</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12.21</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213</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农林水支出</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21305</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扶贫</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2130599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其他扶贫支出</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2.91</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216</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商业服务业等支出</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21606</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涉外发展服务支出</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2160699</w:t>
            </w:r>
          </w:p>
        </w:tc>
        <w:tc>
          <w:tcPr>
            <w:tcW w:w="4396" w:type="dxa"/>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其他涉外发展服务支出</w:t>
            </w:r>
          </w:p>
        </w:tc>
        <w:tc>
          <w:tcPr>
            <w:tcW w:w="47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09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3.00</w:t>
            </w:r>
          </w:p>
        </w:tc>
        <w:tc>
          <w:tcPr>
            <w:tcW w:w="1616"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801" w:type="dxa"/>
            <w:gridSpan w:val="7"/>
            <w:tcBorders>
              <w:top w:val="nil"/>
              <w:left w:val="nil"/>
              <w:bottom w:val="nil"/>
              <w:right w:val="nil"/>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注：本表反映部门本年度一般公共预算财政拨款支出情况。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4174" w:type="dxa"/>
        <w:tblInd w:w="-106" w:type="dxa"/>
        <w:tblLayout w:type="fixed"/>
        <w:tblCellMar>
          <w:top w:w="0" w:type="dxa"/>
          <w:left w:w="108" w:type="dxa"/>
          <w:bottom w:w="0" w:type="dxa"/>
          <w:right w:w="108" w:type="dxa"/>
        </w:tblCellMar>
      </w:tblPr>
      <w:tblGrid>
        <w:gridCol w:w="704"/>
        <w:gridCol w:w="3141"/>
        <w:gridCol w:w="801"/>
        <w:gridCol w:w="703"/>
        <w:gridCol w:w="2166"/>
        <w:gridCol w:w="703"/>
        <w:gridCol w:w="703"/>
        <w:gridCol w:w="3920"/>
        <w:gridCol w:w="1333"/>
      </w:tblGrid>
      <w:tr>
        <w:tblPrEx>
          <w:tblLayout w:type="fixed"/>
          <w:tblCellMar>
            <w:top w:w="0" w:type="dxa"/>
            <w:left w:w="108" w:type="dxa"/>
            <w:bottom w:w="0" w:type="dxa"/>
            <w:right w:w="108" w:type="dxa"/>
          </w:tblCellMar>
        </w:tblPrEx>
        <w:trPr>
          <w:trHeight w:val="390" w:hRule="atLeast"/>
        </w:trPr>
        <w:tc>
          <w:tcPr>
            <w:tcW w:w="14174" w:type="dxa"/>
            <w:gridSpan w:val="9"/>
            <w:tcBorders>
              <w:top w:val="nil"/>
              <w:left w:val="nil"/>
              <w:bottom w:val="nil"/>
              <w:right w:val="nil"/>
            </w:tcBorders>
            <w:vAlign w:val="bottom"/>
          </w:tcPr>
          <w:p>
            <w:pPr>
              <w:widowControl/>
              <w:jc w:val="center"/>
              <w:rPr>
                <w:rFonts w:ascii="Arial" w:hAnsi="Arial" w:cs="Arial"/>
                <w:color w:val="000000"/>
                <w:kern w:val="0"/>
                <w:sz w:val="20"/>
                <w:szCs w:val="20"/>
              </w:rPr>
            </w:pPr>
            <w:r>
              <w:rPr>
                <w:rFonts w:hint="eastAsia" w:ascii="宋体" w:hAnsi="宋体" w:cs="宋体"/>
                <w:color w:val="000000"/>
                <w:kern w:val="0"/>
                <w:sz w:val="30"/>
                <w:szCs w:val="30"/>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7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14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9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33"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Layout w:type="fixed"/>
          <w:tblCellMar>
            <w:top w:w="0" w:type="dxa"/>
            <w:left w:w="108" w:type="dxa"/>
            <w:bottom w:w="0" w:type="dxa"/>
            <w:right w:w="108" w:type="dxa"/>
          </w:tblCellMar>
        </w:tblPrEx>
        <w:trPr>
          <w:trHeight w:val="255" w:hRule="atLeast"/>
        </w:trPr>
        <w:tc>
          <w:tcPr>
            <w:tcW w:w="3845"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部门：洞口县企业养老保险站</w:t>
            </w:r>
          </w:p>
        </w:tc>
        <w:tc>
          <w:tcPr>
            <w:tcW w:w="8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9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33"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金额单位：万元</w:t>
            </w:r>
          </w:p>
        </w:tc>
      </w:tr>
      <w:tr>
        <w:tblPrEx>
          <w:tblLayout w:type="fixed"/>
          <w:tblCellMar>
            <w:top w:w="0" w:type="dxa"/>
            <w:left w:w="108" w:type="dxa"/>
            <w:bottom w:w="0" w:type="dxa"/>
            <w:right w:w="108" w:type="dxa"/>
          </w:tblCellMar>
        </w:tblPrEx>
        <w:trPr>
          <w:trHeight w:val="308" w:hRule="atLeast"/>
        </w:trPr>
        <w:tc>
          <w:tcPr>
            <w:tcW w:w="4646"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9528"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704"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14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80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决算数</w:t>
            </w:r>
          </w:p>
        </w:tc>
        <w:tc>
          <w:tcPr>
            <w:tcW w:w="70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16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70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决算数</w:t>
            </w:r>
          </w:p>
        </w:tc>
        <w:tc>
          <w:tcPr>
            <w:tcW w:w="70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92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3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12" w:hRule="atLeast"/>
        </w:trPr>
        <w:tc>
          <w:tcPr>
            <w:tcW w:w="7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3141"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801"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703"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2166"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703"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703"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c>
          <w:tcPr>
            <w:tcW w:w="1333" w:type="dxa"/>
            <w:vMerge w:val="continue"/>
            <w:tcBorders>
              <w:top w:val="nil"/>
              <w:left w:val="nil"/>
              <w:bottom w:val="single" w:color="000000" w:sz="4" w:space="0"/>
              <w:right w:val="single" w:color="000000" w:sz="4" w:space="0"/>
            </w:tcBorders>
            <w:vAlign w:val="center"/>
          </w:tcPr>
          <w:p>
            <w:pPr>
              <w:widowControl/>
              <w:jc w:val="left"/>
              <w:rPr>
                <w:rFonts w:ascii="宋体" w:cs="Times New Roman"/>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工资福利支出</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133.57</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商品和服务支出</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25.91</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307</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债务利息及费用支出</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30101</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基本工资</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42.34</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30201</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6.20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30701</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国内债务付息</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30102</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津贴补贴</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29.28</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30202</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印刷费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4.98</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30702</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国外债务付息</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30103</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30203</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咨询费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资本性支出</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30106</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伙食补助费</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8.77</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30204</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手续费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31001</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房屋建筑物购建</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30107</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绩效工资</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30205</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水费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0.04</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31002</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办公设备购置</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30108</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26.20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30206</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电费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0.23</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31003</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专用设备购置</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30109</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职业年金缴费</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3.72</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30207</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邮电费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31005</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基础设施建设</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30110</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职工基本医疗保险缴费</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7.43</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30208</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取暖费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31006</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大型修缮</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30111</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30209</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物业管理费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31007</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信息网络及软件购置更新</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30112</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其他社会保障缴费</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30211</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差旅费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1.59</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31008</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物资储备</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30113</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13.83</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30212</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因公出国（境）费用</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31009</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土地补偿</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30114</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30213</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维修（护）费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1.40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31010</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安置补助</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30199</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其他工资福利支出</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30214</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租赁费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0.80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31011</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地上附着物和青苗补偿</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对个人和家庭的补助</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135.19</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30215</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会议费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31012</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拆迁补偿</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30301</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离休费</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30216</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培训费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31013</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公务用车购置</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30302</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退休费</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30217</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公务接待费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1.18</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31019</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其他交通工具购置</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30303</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退职（役）费</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30218</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专用材料费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31021</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文物和陈列品购置</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30304</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抚恤金</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30224</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被装购置费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31022</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无形资产购置</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30305</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生活补助</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135.19</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30225</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专用燃料费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31099</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其他资本性支出</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30306</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救济费</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30226</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劳务费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1.50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399</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其他支出</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30307</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医疗费补助</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30227</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委托业务费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39906</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赠与</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30308</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助学金</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30228</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工会经费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4.00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39907</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国家赔偿费用支出</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30309</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奖励金</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30229</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福利费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39908</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对民间非营利组织和群众性自治组织补贴</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30310</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个人农业生产补贴</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30231</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公务用车运行维护费</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39999</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30399</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其他对个人和家庭的补助</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30239</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其他交通费用</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30240</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税金及附加费用</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7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3141"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30299</w:t>
            </w:r>
          </w:p>
        </w:tc>
        <w:tc>
          <w:tcPr>
            <w:tcW w:w="2166"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其他商品和服务支出</w:t>
            </w:r>
          </w:p>
        </w:tc>
        <w:tc>
          <w:tcPr>
            <w:tcW w:w="70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703"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3920" w:type="dxa"/>
            <w:tcBorders>
              <w:top w:val="nil"/>
              <w:left w:val="nil"/>
              <w:bottom w:val="single" w:color="000000" w:sz="4" w:space="0"/>
              <w:right w:val="single" w:color="000000" w:sz="4" w:space="0"/>
            </w:tcBorders>
            <w:shd w:val="clear" w:color="FFFFFF" w:fill="C0C0C0"/>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845"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人员经费合计</w:t>
            </w:r>
          </w:p>
        </w:tc>
        <w:tc>
          <w:tcPr>
            <w:tcW w:w="801"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268.76</w:t>
            </w:r>
          </w:p>
        </w:tc>
        <w:tc>
          <w:tcPr>
            <w:tcW w:w="8195"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公用经费合计</w:t>
            </w:r>
          </w:p>
        </w:tc>
        <w:tc>
          <w:tcPr>
            <w:tcW w:w="1333" w:type="dxa"/>
            <w:tcBorders>
              <w:top w:val="nil"/>
              <w:left w:val="nil"/>
              <w:bottom w:val="single" w:color="000000" w:sz="4" w:space="0"/>
              <w:right w:val="single" w:color="000000" w:sz="4" w:space="0"/>
            </w:tcBorders>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25.91</w:t>
            </w:r>
          </w:p>
        </w:tc>
      </w:tr>
      <w:tr>
        <w:tblPrEx>
          <w:tblLayout w:type="fixed"/>
          <w:tblCellMar>
            <w:top w:w="0" w:type="dxa"/>
            <w:left w:w="108" w:type="dxa"/>
            <w:bottom w:w="0" w:type="dxa"/>
            <w:right w:w="108" w:type="dxa"/>
          </w:tblCellMar>
        </w:tblPrEx>
        <w:trPr>
          <w:trHeight w:val="308" w:hRule="atLeast"/>
        </w:trPr>
        <w:tc>
          <w:tcPr>
            <w:tcW w:w="14174" w:type="dxa"/>
            <w:gridSpan w:val="9"/>
            <w:tcBorders>
              <w:top w:val="nil"/>
              <w:left w:val="nil"/>
              <w:bottom w:val="nil"/>
              <w:right w:val="nil"/>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注：本表反映部门本年度一般公共预算财政拨款基本支出明细情况。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rPr>
          <w:rFonts w:ascii="宋体" w:cs="Times New Roman"/>
          <w:color w:val="000000"/>
          <w:kern w:val="0"/>
          <w:sz w:val="36"/>
          <w:szCs w:val="36"/>
        </w:rPr>
      </w:pPr>
    </w:p>
    <w:tbl>
      <w:tblPr>
        <w:tblStyle w:val="7"/>
        <w:tblW w:w="13988" w:type="dxa"/>
        <w:tblInd w:w="2" w:type="dxa"/>
        <w:tblLayout w:type="fixed"/>
        <w:tblCellMar>
          <w:top w:w="0" w:type="dxa"/>
          <w:left w:w="0" w:type="dxa"/>
          <w:bottom w:w="0" w:type="dxa"/>
          <w:right w:w="0" w:type="dxa"/>
        </w:tblCellMar>
      </w:tblPr>
      <w:tblGrid>
        <w:gridCol w:w="2740"/>
        <w:gridCol w:w="1045"/>
        <w:gridCol w:w="889"/>
        <w:gridCol w:w="1170"/>
        <w:gridCol w:w="963"/>
        <w:gridCol w:w="1036"/>
        <w:gridCol w:w="792"/>
        <w:gridCol w:w="972"/>
        <w:gridCol w:w="1000"/>
        <w:gridCol w:w="1000"/>
        <w:gridCol w:w="951"/>
        <w:gridCol w:w="1430"/>
      </w:tblGrid>
      <w:tr>
        <w:tblPrEx>
          <w:tblLayout w:type="fixed"/>
          <w:tblCellMar>
            <w:top w:w="0" w:type="dxa"/>
            <w:left w:w="0" w:type="dxa"/>
            <w:bottom w:w="0" w:type="dxa"/>
            <w:right w:w="0" w:type="dxa"/>
          </w:tblCellMar>
        </w:tblPrEx>
        <w:trPr>
          <w:trHeight w:val="540" w:hRule="atLeast"/>
        </w:trPr>
        <w:tc>
          <w:tcPr>
            <w:tcW w:w="13988" w:type="dxa"/>
            <w:gridSpan w:val="12"/>
            <w:tcBorders>
              <w:top w:val="nil"/>
              <w:left w:val="nil"/>
              <w:bottom w:val="nil"/>
              <w:right w:val="nil"/>
            </w:tcBorders>
            <w:tcMar>
              <w:top w:w="15" w:type="dxa"/>
              <w:left w:w="15" w:type="dxa"/>
              <w:right w:w="15" w:type="dxa"/>
            </w:tcMar>
            <w:vAlign w:val="bottom"/>
          </w:tcPr>
          <w:p>
            <w:pPr>
              <w:ind w:firstLine="1980" w:firstLineChars="450"/>
              <w:rPr>
                <w:rFonts w:ascii="Arial" w:hAnsi="Arial" w:cs="Arial"/>
                <w:color w:val="000000"/>
                <w:sz w:val="20"/>
                <w:szCs w:val="20"/>
              </w:rPr>
            </w:pPr>
            <w:r>
              <w:rPr>
                <w:rFonts w:hint="eastAsia" w:ascii="宋体" w:hAnsi="宋体" w:cs="宋体"/>
                <w:color w:val="000000"/>
                <w:kern w:val="0"/>
                <w:sz w:val="44"/>
                <w:szCs w:val="44"/>
              </w:rPr>
              <w:t>一般公共预算财政拨款“三公”经费支出决算表</w:t>
            </w:r>
          </w:p>
        </w:tc>
      </w:tr>
      <w:tr>
        <w:tblPrEx>
          <w:tblLayout w:type="fixed"/>
          <w:tblCellMar>
            <w:top w:w="0" w:type="dxa"/>
            <w:left w:w="0" w:type="dxa"/>
            <w:bottom w:w="0" w:type="dxa"/>
            <w:right w:w="0" w:type="dxa"/>
          </w:tblCellMar>
        </w:tblPrEx>
        <w:trPr>
          <w:trHeight w:val="255" w:hRule="atLeast"/>
        </w:trPr>
        <w:tc>
          <w:tcPr>
            <w:tcW w:w="27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4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8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9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7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274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部门：洞口县企业养老保险站</w:t>
            </w:r>
          </w:p>
        </w:tc>
        <w:tc>
          <w:tcPr>
            <w:tcW w:w="104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8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9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7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7843"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预算数</w:t>
            </w:r>
          </w:p>
        </w:tc>
        <w:tc>
          <w:tcPr>
            <w:tcW w:w="6145"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决算数</w:t>
            </w:r>
          </w:p>
        </w:tc>
      </w:tr>
      <w:tr>
        <w:tblPrEx>
          <w:tblLayout w:type="fixed"/>
          <w:tblCellMar>
            <w:top w:w="0" w:type="dxa"/>
            <w:left w:w="0" w:type="dxa"/>
            <w:bottom w:w="0" w:type="dxa"/>
            <w:right w:w="0" w:type="dxa"/>
          </w:tblCellMar>
        </w:tblPrEx>
        <w:trPr>
          <w:trHeight w:val="308" w:hRule="atLeast"/>
        </w:trPr>
        <w:tc>
          <w:tcPr>
            <w:tcW w:w="27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10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因公出国（境）费</w:t>
            </w:r>
          </w:p>
        </w:tc>
        <w:tc>
          <w:tcPr>
            <w:tcW w:w="3022"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公务用车购置及运行费</w:t>
            </w:r>
          </w:p>
        </w:tc>
        <w:tc>
          <w:tcPr>
            <w:tcW w:w="10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公务接待费</w:t>
            </w:r>
          </w:p>
        </w:tc>
        <w:tc>
          <w:tcPr>
            <w:tcW w:w="7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9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因公出国（境）费</w:t>
            </w:r>
          </w:p>
        </w:tc>
        <w:tc>
          <w:tcPr>
            <w:tcW w:w="295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公务用车购置及运行费</w:t>
            </w:r>
          </w:p>
        </w:tc>
        <w:tc>
          <w:tcPr>
            <w:tcW w:w="14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公务接待费</w:t>
            </w:r>
          </w:p>
        </w:tc>
      </w:tr>
      <w:tr>
        <w:tblPrEx>
          <w:tblLayout w:type="fixed"/>
          <w:tblCellMar>
            <w:top w:w="0" w:type="dxa"/>
            <w:left w:w="0" w:type="dxa"/>
            <w:bottom w:w="0" w:type="dxa"/>
            <w:right w:w="0" w:type="dxa"/>
          </w:tblCellMar>
        </w:tblPrEx>
        <w:trPr>
          <w:trHeight w:val="615" w:hRule="atLeast"/>
        </w:trPr>
        <w:tc>
          <w:tcPr>
            <w:tcW w:w="27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88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小计</w:t>
            </w:r>
          </w:p>
        </w:tc>
        <w:tc>
          <w:tcPr>
            <w:tcW w:w="11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公务用车购置费</w:t>
            </w:r>
          </w:p>
        </w:tc>
        <w:tc>
          <w:tcPr>
            <w:tcW w:w="96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公务用车运行费</w:t>
            </w:r>
          </w:p>
        </w:tc>
        <w:tc>
          <w:tcPr>
            <w:tcW w:w="10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小计</w:t>
            </w:r>
          </w:p>
        </w:tc>
        <w:tc>
          <w:tcPr>
            <w:tcW w:w="10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公务用车购置费</w:t>
            </w:r>
          </w:p>
        </w:tc>
        <w:tc>
          <w:tcPr>
            <w:tcW w:w="9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公务用车运行费</w:t>
            </w:r>
          </w:p>
        </w:tc>
        <w:tc>
          <w:tcPr>
            <w:tcW w:w="14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274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0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88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1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96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0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7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9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10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10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10</w:t>
            </w:r>
          </w:p>
        </w:tc>
        <w:tc>
          <w:tcPr>
            <w:tcW w:w="9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r>
      <w:tr>
        <w:tblPrEx>
          <w:tblLayout w:type="fixed"/>
          <w:tblCellMar>
            <w:top w:w="0" w:type="dxa"/>
            <w:left w:w="0" w:type="dxa"/>
            <w:bottom w:w="0" w:type="dxa"/>
            <w:right w:w="0" w:type="dxa"/>
          </w:tblCellMar>
        </w:tblPrEx>
        <w:trPr>
          <w:trHeight w:val="308" w:hRule="atLeast"/>
        </w:trPr>
        <w:tc>
          <w:tcPr>
            <w:tcW w:w="274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2.00</w:t>
            </w:r>
          </w:p>
        </w:tc>
        <w:tc>
          <w:tcPr>
            <w:tcW w:w="104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8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1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96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3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2.00</w:t>
            </w: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1.18</w:t>
            </w:r>
          </w:p>
        </w:tc>
        <w:tc>
          <w:tcPr>
            <w:tcW w:w="97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0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9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1.18</w:t>
            </w:r>
          </w:p>
        </w:tc>
      </w:tr>
      <w:tr>
        <w:tblPrEx>
          <w:tblLayout w:type="fixed"/>
          <w:tblCellMar>
            <w:top w:w="0" w:type="dxa"/>
            <w:left w:w="0" w:type="dxa"/>
            <w:bottom w:w="0" w:type="dxa"/>
            <w:right w:w="0" w:type="dxa"/>
          </w:tblCellMar>
        </w:tblPrEx>
        <w:trPr>
          <w:trHeight w:val="615" w:hRule="atLeast"/>
        </w:trPr>
        <w:tc>
          <w:tcPr>
            <w:tcW w:w="13988" w:type="dxa"/>
            <w:gridSpan w:val="12"/>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Layout w:type="fixed"/>
          <w:tblCellMar>
            <w:top w:w="0" w:type="dxa"/>
            <w:left w:w="0" w:type="dxa"/>
            <w:bottom w:w="0" w:type="dxa"/>
            <w:right w:w="0" w:type="dxa"/>
          </w:tblCellMar>
        </w:tblPrEx>
        <w:trPr>
          <w:trHeight w:val="255" w:hRule="atLeast"/>
        </w:trPr>
        <w:tc>
          <w:tcPr>
            <w:tcW w:w="27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4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8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9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7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3988" w:type="dxa"/>
        <w:tblInd w:w="2" w:type="dxa"/>
        <w:tblLayout w:type="fixed"/>
        <w:tblCellMar>
          <w:top w:w="0" w:type="dxa"/>
          <w:left w:w="0" w:type="dxa"/>
          <w:bottom w:w="0" w:type="dxa"/>
          <w:right w:w="0" w:type="dxa"/>
        </w:tblCellMar>
      </w:tblPr>
      <w:tblGrid>
        <w:gridCol w:w="4304"/>
        <w:gridCol w:w="82"/>
        <w:gridCol w:w="82"/>
        <w:gridCol w:w="1489"/>
        <w:gridCol w:w="1138"/>
        <w:gridCol w:w="1138"/>
        <w:gridCol w:w="1138"/>
        <w:gridCol w:w="1138"/>
        <w:gridCol w:w="1138"/>
        <w:gridCol w:w="2341"/>
      </w:tblGrid>
      <w:tr>
        <w:tblPrEx>
          <w:tblLayout w:type="fixed"/>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tcMar>
              <w:top w:w="15" w:type="dxa"/>
              <w:left w:w="15" w:type="dxa"/>
              <w:right w:w="15" w:type="dxa"/>
            </w:tcMar>
            <w:vAlign w:val="bottom"/>
          </w:tcPr>
          <w:p>
            <w:pPr>
              <w:ind w:firstLine="3600" w:firstLineChars="1200"/>
              <w:rPr>
                <w:rFonts w:ascii="Arial" w:hAnsi="Arial" w:cs="Arial"/>
                <w:color w:val="000000"/>
                <w:sz w:val="20"/>
                <w:szCs w:val="20"/>
              </w:rPr>
            </w:pPr>
            <w:r>
              <w:rPr>
                <w:rFonts w:hint="eastAsia" w:ascii="宋体" w:hAnsi="宋体" w:cs="宋体"/>
                <w:color w:val="000000"/>
                <w:kern w:val="0"/>
                <w:sz w:val="30"/>
                <w:szCs w:val="30"/>
              </w:rPr>
              <w:t>政府性基金预算财政拨款收入支出决算表</w:t>
            </w:r>
          </w:p>
        </w:tc>
      </w:tr>
      <w:tr>
        <w:tblPrEx>
          <w:tblLayout w:type="fixed"/>
          <w:tblCellMar>
            <w:top w:w="0" w:type="dxa"/>
            <w:left w:w="0" w:type="dxa"/>
            <w:bottom w:w="0" w:type="dxa"/>
            <w:right w:w="0" w:type="dxa"/>
          </w:tblCellMar>
        </w:tblPrEx>
        <w:trPr>
          <w:trHeight w:val="255" w:hRule="atLeast"/>
        </w:trPr>
        <w:tc>
          <w:tcPr>
            <w:tcW w:w="430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8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41"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4304"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部门：洞口县企业养老保险站</w:t>
            </w:r>
          </w:p>
        </w:tc>
        <w:tc>
          <w:tcPr>
            <w:tcW w:w="8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8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3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41"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5957"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113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年初结转和结余</w:t>
            </w:r>
          </w:p>
        </w:tc>
        <w:tc>
          <w:tcPr>
            <w:tcW w:w="113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本年收入</w:t>
            </w:r>
          </w:p>
        </w:tc>
        <w:tc>
          <w:tcPr>
            <w:tcW w:w="341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本年支出</w:t>
            </w:r>
          </w:p>
        </w:tc>
        <w:tc>
          <w:tcPr>
            <w:tcW w:w="234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年末结转和结余</w:t>
            </w:r>
          </w:p>
        </w:tc>
      </w:tr>
      <w:tr>
        <w:tblPrEx>
          <w:tblLayout w:type="fixed"/>
          <w:tblCellMar>
            <w:top w:w="0" w:type="dxa"/>
            <w:left w:w="0" w:type="dxa"/>
            <w:bottom w:w="0" w:type="dxa"/>
            <w:right w:w="0" w:type="dxa"/>
          </w:tblCellMar>
        </w:tblPrEx>
        <w:trPr>
          <w:trHeight w:val="312" w:hRule="atLeast"/>
        </w:trPr>
        <w:tc>
          <w:tcPr>
            <w:tcW w:w="4468"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功能分类科目编码</w:t>
            </w:r>
          </w:p>
        </w:tc>
        <w:tc>
          <w:tcPr>
            <w:tcW w:w="14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11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小计</w:t>
            </w:r>
          </w:p>
        </w:tc>
        <w:tc>
          <w:tcPr>
            <w:tcW w:w="113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基本支出</w:t>
            </w:r>
          </w:p>
        </w:tc>
        <w:tc>
          <w:tcPr>
            <w:tcW w:w="113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项目支出</w:t>
            </w:r>
          </w:p>
        </w:tc>
        <w:tc>
          <w:tcPr>
            <w:tcW w:w="234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446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34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446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3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34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957"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113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13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113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13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13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234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r>
      <w:tr>
        <w:tblPrEx>
          <w:tblLayout w:type="fixed"/>
          <w:tblCellMar>
            <w:top w:w="0" w:type="dxa"/>
            <w:left w:w="0" w:type="dxa"/>
            <w:bottom w:w="0" w:type="dxa"/>
            <w:right w:w="0" w:type="dxa"/>
          </w:tblCellMar>
        </w:tblPrEx>
        <w:trPr>
          <w:trHeight w:val="308" w:hRule="atLeast"/>
        </w:trPr>
        <w:tc>
          <w:tcPr>
            <w:tcW w:w="5957"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2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r>
      <w:tr>
        <w:tblPrEx>
          <w:tblLayout w:type="fixed"/>
          <w:tblCellMar>
            <w:top w:w="0" w:type="dxa"/>
            <w:left w:w="0" w:type="dxa"/>
            <w:bottom w:w="0" w:type="dxa"/>
            <w:right w:w="0" w:type="dxa"/>
          </w:tblCellMar>
        </w:tblPrEx>
        <w:trPr>
          <w:trHeight w:val="308" w:hRule="atLeast"/>
        </w:trPr>
        <w:tc>
          <w:tcPr>
            <w:tcW w:w="446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8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446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8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446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8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446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8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446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8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446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8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13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3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13988"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注：本表反映部门本年度政府性基金预算财政拨款收入、支出及结转和结余情况。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rPr>
          <w:rFonts w:ascii="宋体" w:cs="Times New Roman"/>
          <w:color w:val="000000"/>
          <w:kern w:val="0"/>
          <w:sz w:val="36"/>
          <w:szCs w:val="36"/>
        </w:rPr>
        <w:sectPr>
          <w:pgSz w:w="16838" w:h="11906" w:orient="landscape"/>
          <w:pgMar w:top="1800" w:right="1440" w:bottom="1800" w:left="1440" w:header="851" w:footer="992" w:gutter="0"/>
          <w:cols w:space="425" w:num="1"/>
          <w:docGrid w:type="lines" w:linePitch="312" w:charSpace="0"/>
        </w:sectPr>
      </w:pPr>
    </w:p>
    <w:p>
      <w:pPr>
        <w:ind w:firstLine="560" w:firstLineChars="200"/>
        <w:rPr>
          <w:rFonts w:ascii="宋体" w:cs="Times New Roman"/>
          <w:sz w:val="28"/>
          <w:szCs w:val="28"/>
        </w:rPr>
      </w:pPr>
      <w:r>
        <w:rPr>
          <w:rFonts w:hint="eastAsia" w:ascii="宋体" w:hAnsi="宋体" w:cs="宋体"/>
          <w:sz w:val="28"/>
          <w:szCs w:val="28"/>
        </w:rPr>
        <w:t>第三部分</w:t>
      </w:r>
      <w:r>
        <w:rPr>
          <w:rFonts w:ascii="宋体" w:cs="Times New Roman"/>
          <w:sz w:val="28"/>
          <w:szCs w:val="28"/>
        </w:rPr>
        <w:t> </w:t>
      </w:r>
      <w:r>
        <w:rPr>
          <w:rFonts w:ascii="宋体" w:hAnsi="宋体" w:cs="宋体"/>
          <w:sz w:val="28"/>
          <w:szCs w:val="28"/>
        </w:rPr>
        <w:t xml:space="preserve"> </w:t>
      </w:r>
      <w:r>
        <w:rPr>
          <w:rFonts w:hint="eastAsia" w:ascii="宋体" w:hAnsi="宋体" w:cs="宋体"/>
          <w:sz w:val="28"/>
          <w:szCs w:val="28"/>
        </w:rPr>
        <w:t>本单位</w:t>
      </w:r>
      <w:r>
        <w:rPr>
          <w:rFonts w:ascii="宋体" w:hAnsi="宋体" w:cs="宋体"/>
          <w:sz w:val="28"/>
          <w:szCs w:val="28"/>
        </w:rPr>
        <w:t>2019</w:t>
      </w:r>
      <w:r>
        <w:rPr>
          <w:rFonts w:hint="eastAsia" w:ascii="宋体" w:hAnsi="宋体" w:cs="宋体"/>
          <w:sz w:val="28"/>
          <w:szCs w:val="28"/>
        </w:rPr>
        <w:t>年度部门决算情况说明</w:t>
      </w:r>
    </w:p>
    <w:p>
      <w:pPr>
        <w:ind w:firstLine="560" w:firstLineChars="200"/>
        <w:rPr>
          <w:rFonts w:ascii="宋体" w:cs="Times New Roman"/>
          <w:sz w:val="28"/>
          <w:szCs w:val="28"/>
        </w:rPr>
      </w:pPr>
      <w:r>
        <w:rPr>
          <w:rFonts w:hint="eastAsia" w:ascii="宋体" w:hAnsi="宋体" w:cs="宋体"/>
          <w:sz w:val="28"/>
          <w:szCs w:val="28"/>
        </w:rPr>
        <w:t>一、收入支出决算总体情况说明：</w:t>
      </w:r>
    </w:p>
    <w:p>
      <w:pPr>
        <w:ind w:firstLine="560" w:firstLineChars="200"/>
        <w:rPr>
          <w:rFonts w:ascii="宋体" w:cs="Times New Roman"/>
          <w:sz w:val="28"/>
          <w:szCs w:val="28"/>
        </w:rPr>
      </w:pPr>
      <w:r>
        <w:rPr>
          <w:rFonts w:hint="eastAsia" w:ascii="宋体" w:hAnsi="宋体" w:cs="宋体"/>
          <w:sz w:val="28"/>
          <w:szCs w:val="28"/>
        </w:rPr>
        <w:t>本年度收入总计为</w:t>
      </w:r>
      <w:r>
        <w:rPr>
          <w:rFonts w:ascii="宋体" w:hAnsi="宋体" w:cs="宋体"/>
          <w:kern w:val="1"/>
          <w:sz w:val="28"/>
          <w:szCs w:val="28"/>
        </w:rPr>
        <w:t>294.68</w:t>
      </w:r>
      <w:r>
        <w:rPr>
          <w:rFonts w:hint="eastAsia" w:ascii="宋体" w:hAnsi="宋体" w:cs="宋体"/>
          <w:sz w:val="28"/>
          <w:szCs w:val="28"/>
        </w:rPr>
        <w:t>万元，比上年增加</w:t>
      </w:r>
      <w:r>
        <w:rPr>
          <w:rFonts w:ascii="宋体" w:hAnsi="宋体" w:cs="宋体"/>
          <w:sz w:val="28"/>
          <w:szCs w:val="28"/>
        </w:rPr>
        <w:t>49.21</w:t>
      </w:r>
      <w:r>
        <w:rPr>
          <w:rFonts w:hint="eastAsia" w:ascii="宋体" w:hAnsi="宋体" w:cs="宋体"/>
          <w:sz w:val="28"/>
          <w:szCs w:val="28"/>
        </w:rPr>
        <w:t>万元，同比增加</w:t>
      </w:r>
      <w:r>
        <w:rPr>
          <w:rFonts w:ascii="宋体" w:hAnsi="宋体" w:cs="宋体"/>
          <w:sz w:val="28"/>
          <w:szCs w:val="28"/>
        </w:rPr>
        <w:t>20.05%</w:t>
      </w:r>
      <w:r>
        <w:rPr>
          <w:rFonts w:hint="eastAsia" w:ascii="宋体" w:hAnsi="宋体" w:cs="宋体"/>
          <w:sz w:val="28"/>
          <w:szCs w:val="28"/>
        </w:rPr>
        <w:t>。本年度支出总计为</w:t>
      </w:r>
      <w:r>
        <w:rPr>
          <w:rFonts w:ascii="宋体" w:hAnsi="宋体" w:cs="宋体"/>
          <w:kern w:val="1"/>
          <w:sz w:val="28"/>
          <w:szCs w:val="28"/>
        </w:rPr>
        <w:t>294.68</w:t>
      </w:r>
      <w:r>
        <w:rPr>
          <w:rFonts w:hint="eastAsia" w:ascii="宋体" w:hAnsi="宋体" w:cs="宋体"/>
          <w:sz w:val="28"/>
          <w:szCs w:val="28"/>
        </w:rPr>
        <w:t>万元，比上年增加</w:t>
      </w:r>
      <w:r>
        <w:rPr>
          <w:rFonts w:ascii="宋体" w:hAnsi="宋体" w:cs="宋体"/>
          <w:sz w:val="28"/>
          <w:szCs w:val="28"/>
        </w:rPr>
        <w:t>49.21</w:t>
      </w:r>
      <w:r>
        <w:rPr>
          <w:rFonts w:hint="eastAsia" w:ascii="宋体" w:hAnsi="宋体" w:cs="宋体"/>
          <w:sz w:val="28"/>
          <w:szCs w:val="28"/>
        </w:rPr>
        <w:t>万元，同比增加</w:t>
      </w:r>
      <w:r>
        <w:rPr>
          <w:rFonts w:ascii="宋体" w:hAnsi="宋体" w:cs="宋体"/>
          <w:sz w:val="28"/>
          <w:szCs w:val="28"/>
        </w:rPr>
        <w:t>20.05%</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是工资普调提标增加了人员经费</w:t>
      </w:r>
      <w:r>
        <w:rPr>
          <w:rFonts w:ascii="宋体" w:hAnsi="宋体" w:cs="宋体"/>
          <w:sz w:val="28"/>
          <w:szCs w:val="28"/>
        </w:rPr>
        <w:t>88.63</w:t>
      </w:r>
      <w:r>
        <w:rPr>
          <w:rFonts w:hint="eastAsia" w:ascii="宋体" w:hAnsi="宋体" w:cs="宋体"/>
          <w:sz w:val="28"/>
          <w:szCs w:val="28"/>
        </w:rPr>
        <w:t>万元，缩减日常公用支出</w:t>
      </w:r>
      <w:r>
        <w:rPr>
          <w:rFonts w:ascii="宋体" w:hAnsi="宋体" w:cs="宋体"/>
          <w:sz w:val="28"/>
          <w:szCs w:val="28"/>
        </w:rPr>
        <w:t>39.42</w:t>
      </w:r>
      <w:r>
        <w:rPr>
          <w:rFonts w:hint="eastAsia" w:ascii="宋体" w:hAnsi="宋体" w:cs="宋体"/>
          <w:sz w:val="28"/>
          <w:szCs w:val="28"/>
        </w:rPr>
        <w:t>万元，总计比上年增加</w:t>
      </w:r>
      <w:r>
        <w:rPr>
          <w:rFonts w:ascii="宋体" w:hAnsi="宋体" w:cs="宋体"/>
          <w:sz w:val="28"/>
          <w:szCs w:val="28"/>
        </w:rPr>
        <w:t>49.21</w:t>
      </w:r>
      <w:r>
        <w:rPr>
          <w:rFonts w:hint="eastAsia" w:ascii="宋体" w:hAnsi="宋体" w:cs="宋体"/>
          <w:sz w:val="28"/>
          <w:szCs w:val="28"/>
        </w:rPr>
        <w:t>万元。</w:t>
      </w:r>
    </w:p>
    <w:p>
      <w:pPr>
        <w:ind w:firstLine="560" w:firstLineChars="200"/>
        <w:rPr>
          <w:rFonts w:ascii="宋体" w:cs="Times New Roman"/>
          <w:sz w:val="28"/>
          <w:szCs w:val="28"/>
        </w:rPr>
      </w:pPr>
      <w:r>
        <w:rPr>
          <w:rFonts w:hint="eastAsia" w:ascii="宋体" w:hAnsi="宋体" w:cs="宋体"/>
          <w:sz w:val="28"/>
          <w:szCs w:val="28"/>
        </w:rPr>
        <w:t>二、收入决算情况说明：</w:t>
      </w:r>
    </w:p>
    <w:p>
      <w:pPr>
        <w:ind w:firstLine="560" w:firstLineChars="200"/>
        <w:rPr>
          <w:rFonts w:ascii="宋体" w:cs="Times New Roman"/>
          <w:sz w:val="28"/>
          <w:szCs w:val="28"/>
        </w:rPr>
      </w:pPr>
      <w:r>
        <w:rPr>
          <w:rFonts w:hint="eastAsia" w:ascii="宋体" w:hAnsi="宋体" w:cs="宋体"/>
          <w:sz w:val="28"/>
          <w:szCs w:val="28"/>
        </w:rPr>
        <w:t>本年度收入合计</w:t>
      </w:r>
      <w:r>
        <w:rPr>
          <w:rFonts w:ascii="宋体" w:hAnsi="宋体" w:cs="宋体"/>
          <w:sz w:val="28"/>
          <w:szCs w:val="28"/>
        </w:rPr>
        <w:t>294.68</w:t>
      </w:r>
      <w:r>
        <w:rPr>
          <w:rFonts w:hint="eastAsia" w:ascii="宋体" w:hAnsi="宋体" w:cs="宋体"/>
          <w:sz w:val="28"/>
          <w:szCs w:val="28"/>
        </w:rPr>
        <w:t>万元，其中：财政拨款收入</w:t>
      </w:r>
      <w:r>
        <w:rPr>
          <w:rFonts w:ascii="宋体" w:hAnsi="宋体" w:cs="宋体"/>
          <w:sz w:val="28"/>
          <w:szCs w:val="28"/>
        </w:rPr>
        <w:t>294.68</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；其他收入</w:t>
      </w:r>
      <w:r>
        <w:rPr>
          <w:rFonts w:ascii="宋体" w:cs="宋体"/>
          <w:sz w:val="28"/>
          <w:szCs w:val="28"/>
        </w:rPr>
        <w:t>0</w:t>
      </w:r>
      <w:r>
        <w:rPr>
          <w:rFonts w:hint="eastAsia" w:ascii="宋体" w:hAnsi="宋体" w:cs="宋体"/>
          <w:sz w:val="28"/>
          <w:szCs w:val="28"/>
        </w:rPr>
        <w:t>万元，比上年增加</w:t>
      </w:r>
      <w:r>
        <w:rPr>
          <w:rFonts w:ascii="宋体" w:hAnsi="宋体" w:cs="宋体"/>
          <w:sz w:val="28"/>
          <w:szCs w:val="28"/>
        </w:rPr>
        <w:t>49.21</w:t>
      </w:r>
      <w:r>
        <w:rPr>
          <w:rFonts w:hint="eastAsia" w:ascii="宋体" w:hAnsi="宋体" w:cs="宋体"/>
          <w:sz w:val="28"/>
          <w:szCs w:val="28"/>
        </w:rPr>
        <w:t>万元，同比增加</w:t>
      </w:r>
      <w:r>
        <w:rPr>
          <w:rFonts w:ascii="宋体" w:hAnsi="宋体" w:cs="宋体"/>
          <w:sz w:val="28"/>
          <w:szCs w:val="28"/>
        </w:rPr>
        <w:t>20.05%</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是工资普调提标增加了人员经费。</w:t>
      </w:r>
    </w:p>
    <w:p>
      <w:pPr>
        <w:ind w:firstLine="560" w:firstLineChars="200"/>
        <w:rPr>
          <w:rFonts w:ascii="宋体" w:cs="Times New Roman"/>
          <w:sz w:val="28"/>
          <w:szCs w:val="28"/>
        </w:rPr>
      </w:pPr>
      <w:r>
        <w:rPr>
          <w:rFonts w:hint="eastAsia" w:ascii="宋体" w:hAnsi="宋体" w:cs="宋体"/>
          <w:sz w:val="28"/>
          <w:szCs w:val="28"/>
        </w:rPr>
        <w:t>三、支出决算情况说明：</w:t>
      </w:r>
    </w:p>
    <w:p>
      <w:pPr>
        <w:ind w:firstLine="560" w:firstLineChars="200"/>
        <w:rPr>
          <w:rFonts w:ascii="宋体" w:cs="Times New Roman"/>
          <w:sz w:val="28"/>
          <w:szCs w:val="28"/>
        </w:rPr>
      </w:pPr>
      <w:r>
        <w:rPr>
          <w:rFonts w:hint="eastAsia" w:ascii="宋体" w:hAnsi="宋体" w:cs="宋体"/>
          <w:sz w:val="28"/>
          <w:szCs w:val="28"/>
        </w:rPr>
        <w:t>本年度支出合计</w:t>
      </w:r>
      <w:r>
        <w:rPr>
          <w:rFonts w:ascii="宋体" w:hAnsi="宋体" w:cs="宋体"/>
          <w:sz w:val="28"/>
          <w:szCs w:val="28"/>
        </w:rPr>
        <w:t>294.68</w:t>
      </w:r>
      <w:r>
        <w:rPr>
          <w:rFonts w:hint="eastAsia" w:ascii="宋体" w:hAnsi="宋体" w:cs="宋体"/>
          <w:sz w:val="28"/>
          <w:szCs w:val="28"/>
        </w:rPr>
        <w:t>万元，其中</w:t>
      </w:r>
      <w:r>
        <w:rPr>
          <w:rFonts w:ascii="宋体" w:hAnsi="宋体" w:cs="宋体"/>
          <w:sz w:val="28"/>
          <w:szCs w:val="28"/>
        </w:rPr>
        <w:t>:</w:t>
      </w:r>
      <w:r>
        <w:rPr>
          <w:rFonts w:hint="eastAsia" w:ascii="宋体" w:hAnsi="宋体" w:cs="宋体"/>
          <w:sz w:val="28"/>
          <w:szCs w:val="28"/>
        </w:rPr>
        <w:t>基本支出</w:t>
      </w:r>
      <w:r>
        <w:rPr>
          <w:rFonts w:ascii="宋体" w:hAnsi="宋体" w:cs="宋体"/>
          <w:sz w:val="28"/>
          <w:szCs w:val="28"/>
        </w:rPr>
        <w:t>294.68</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；项目支出</w:t>
      </w:r>
      <w:r>
        <w:rPr>
          <w:rFonts w:ascii="宋体" w:cs="宋体"/>
          <w:sz w:val="28"/>
          <w:szCs w:val="28"/>
        </w:rPr>
        <w:t>0</w:t>
      </w:r>
      <w:r>
        <w:rPr>
          <w:rFonts w:hint="eastAsia" w:ascii="宋体" w:hAnsi="宋体" w:cs="宋体"/>
          <w:sz w:val="28"/>
          <w:szCs w:val="28"/>
        </w:rPr>
        <w:t>万元，比上年增加</w:t>
      </w:r>
      <w:r>
        <w:rPr>
          <w:rFonts w:ascii="宋体" w:hAnsi="宋体" w:cs="宋体"/>
          <w:sz w:val="28"/>
          <w:szCs w:val="28"/>
        </w:rPr>
        <w:t>49.21</w:t>
      </w:r>
      <w:r>
        <w:rPr>
          <w:rFonts w:hint="eastAsia" w:ascii="宋体" w:hAnsi="宋体" w:cs="宋体"/>
          <w:sz w:val="28"/>
          <w:szCs w:val="28"/>
        </w:rPr>
        <w:t>万元，同比增加</w:t>
      </w:r>
      <w:r>
        <w:rPr>
          <w:rFonts w:ascii="宋体" w:hAnsi="宋体" w:cs="宋体"/>
          <w:sz w:val="28"/>
          <w:szCs w:val="28"/>
        </w:rPr>
        <w:t>20.05%</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是工资普调提标增加了人员经费</w:t>
      </w:r>
      <w:r>
        <w:rPr>
          <w:rFonts w:ascii="宋体" w:hAnsi="宋体" w:cs="宋体"/>
          <w:sz w:val="28"/>
          <w:szCs w:val="28"/>
        </w:rPr>
        <w:t>88.63</w:t>
      </w:r>
      <w:r>
        <w:rPr>
          <w:rFonts w:hint="eastAsia" w:ascii="宋体" w:hAnsi="宋体" w:cs="宋体"/>
          <w:sz w:val="28"/>
          <w:szCs w:val="28"/>
        </w:rPr>
        <w:t>万元，缩减日常公用支出</w:t>
      </w:r>
      <w:r>
        <w:rPr>
          <w:rFonts w:ascii="宋体" w:hAnsi="宋体" w:cs="宋体"/>
          <w:sz w:val="28"/>
          <w:szCs w:val="28"/>
        </w:rPr>
        <w:t>39.42</w:t>
      </w:r>
      <w:r>
        <w:rPr>
          <w:rFonts w:hint="eastAsia" w:ascii="宋体" w:hAnsi="宋体" w:cs="宋体"/>
          <w:sz w:val="28"/>
          <w:szCs w:val="28"/>
        </w:rPr>
        <w:t>万元，总计比上年增加</w:t>
      </w:r>
      <w:r>
        <w:rPr>
          <w:rFonts w:ascii="宋体" w:hAnsi="宋体" w:cs="宋体"/>
          <w:sz w:val="28"/>
          <w:szCs w:val="28"/>
        </w:rPr>
        <w:t>49.21</w:t>
      </w:r>
      <w:r>
        <w:rPr>
          <w:rFonts w:hint="eastAsia" w:ascii="宋体" w:hAnsi="宋体" w:cs="宋体"/>
          <w:sz w:val="28"/>
          <w:szCs w:val="28"/>
        </w:rPr>
        <w:t>万元。</w:t>
      </w:r>
    </w:p>
    <w:p>
      <w:pPr>
        <w:ind w:firstLine="700" w:firstLineChars="250"/>
        <w:rPr>
          <w:rFonts w:ascii="宋体" w:cs="Times New Roman"/>
          <w:sz w:val="28"/>
          <w:szCs w:val="28"/>
        </w:rPr>
      </w:pPr>
      <w:r>
        <w:rPr>
          <w:rFonts w:hint="eastAsia" w:ascii="宋体" w:hAnsi="宋体" w:cs="宋体"/>
          <w:sz w:val="28"/>
          <w:szCs w:val="28"/>
        </w:rPr>
        <w:t>四、财政拨款收入支出决算总体情况说明：</w:t>
      </w:r>
    </w:p>
    <w:p>
      <w:pPr>
        <w:ind w:firstLine="560" w:firstLineChars="200"/>
        <w:rPr>
          <w:rFonts w:ascii="宋体" w:cs="Times New Roman"/>
          <w:sz w:val="28"/>
          <w:szCs w:val="28"/>
        </w:rPr>
      </w:pPr>
      <w:r>
        <w:rPr>
          <w:rFonts w:hint="eastAsia" w:ascii="宋体" w:hAnsi="宋体" w:cs="宋体"/>
          <w:sz w:val="28"/>
          <w:szCs w:val="28"/>
        </w:rPr>
        <w:t>本年度财政拨款收、支总计均为</w:t>
      </w:r>
      <w:r>
        <w:rPr>
          <w:rFonts w:ascii="宋体" w:hAnsi="宋体" w:cs="宋体"/>
          <w:sz w:val="28"/>
          <w:szCs w:val="28"/>
        </w:rPr>
        <w:t>294.68</w:t>
      </w:r>
      <w:r>
        <w:rPr>
          <w:rFonts w:hint="eastAsia" w:ascii="宋体" w:hAnsi="宋体" w:cs="宋体"/>
          <w:sz w:val="28"/>
          <w:szCs w:val="28"/>
        </w:rPr>
        <w:t>万元，比上年增加</w:t>
      </w:r>
      <w:r>
        <w:rPr>
          <w:rFonts w:ascii="宋体" w:hAnsi="宋体" w:cs="宋体"/>
          <w:sz w:val="28"/>
          <w:szCs w:val="28"/>
        </w:rPr>
        <w:t>49.21</w:t>
      </w:r>
      <w:r>
        <w:rPr>
          <w:rFonts w:hint="eastAsia" w:ascii="宋体" w:hAnsi="宋体" w:cs="宋体"/>
          <w:sz w:val="28"/>
          <w:szCs w:val="28"/>
        </w:rPr>
        <w:t>万元，同比增加</w:t>
      </w:r>
      <w:r>
        <w:rPr>
          <w:rFonts w:ascii="宋体" w:hAnsi="宋体" w:cs="宋体"/>
          <w:sz w:val="28"/>
          <w:szCs w:val="28"/>
        </w:rPr>
        <w:t>20.05%</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是工资普调提标增加了人员经费</w:t>
      </w:r>
      <w:r>
        <w:rPr>
          <w:rFonts w:ascii="宋体" w:hAnsi="宋体" w:cs="宋体"/>
          <w:sz w:val="28"/>
          <w:szCs w:val="28"/>
        </w:rPr>
        <w:t>88.63</w:t>
      </w:r>
      <w:r>
        <w:rPr>
          <w:rFonts w:hint="eastAsia" w:ascii="宋体" w:hAnsi="宋体" w:cs="宋体"/>
          <w:sz w:val="28"/>
          <w:szCs w:val="28"/>
        </w:rPr>
        <w:t>万元，缩减日常公用支出</w:t>
      </w:r>
      <w:r>
        <w:rPr>
          <w:rFonts w:ascii="宋体" w:hAnsi="宋体" w:cs="宋体"/>
          <w:sz w:val="28"/>
          <w:szCs w:val="28"/>
        </w:rPr>
        <w:t>39.42</w:t>
      </w:r>
      <w:r>
        <w:rPr>
          <w:rFonts w:hint="eastAsia" w:ascii="宋体" w:hAnsi="宋体" w:cs="宋体"/>
          <w:sz w:val="28"/>
          <w:szCs w:val="28"/>
        </w:rPr>
        <w:t>万元，总计比上年增加</w:t>
      </w:r>
      <w:r>
        <w:rPr>
          <w:rFonts w:ascii="宋体" w:hAnsi="宋体" w:cs="宋体"/>
          <w:sz w:val="28"/>
          <w:szCs w:val="28"/>
        </w:rPr>
        <w:t>49.21</w:t>
      </w:r>
      <w:r>
        <w:rPr>
          <w:rFonts w:hint="eastAsia" w:ascii="宋体" w:hAnsi="宋体" w:cs="宋体"/>
          <w:sz w:val="28"/>
          <w:szCs w:val="28"/>
        </w:rPr>
        <w:t>万元。</w:t>
      </w:r>
    </w:p>
    <w:p>
      <w:pPr>
        <w:ind w:firstLine="560" w:firstLineChars="200"/>
        <w:rPr>
          <w:rFonts w:ascii="宋体" w:cs="Times New Roman"/>
          <w:sz w:val="28"/>
          <w:szCs w:val="28"/>
        </w:rPr>
      </w:pPr>
      <w:r>
        <w:rPr>
          <w:rFonts w:hint="eastAsia" w:ascii="宋体" w:hAnsi="宋体" w:cs="宋体"/>
          <w:sz w:val="28"/>
          <w:szCs w:val="28"/>
        </w:rPr>
        <w:t>本年度财政拨款收入中，一般公共预算财政拨款收入</w:t>
      </w:r>
      <w:r>
        <w:rPr>
          <w:rFonts w:ascii="宋体" w:hAnsi="宋体" w:cs="宋体"/>
          <w:sz w:val="28"/>
          <w:szCs w:val="28"/>
        </w:rPr>
        <w:t>294.68</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w:t>
      </w:r>
    </w:p>
    <w:p>
      <w:pPr>
        <w:ind w:firstLine="560" w:firstLineChars="200"/>
        <w:rPr>
          <w:rFonts w:ascii="宋体" w:cs="Times New Roman"/>
          <w:sz w:val="28"/>
          <w:szCs w:val="28"/>
        </w:rPr>
      </w:pPr>
      <w:r>
        <w:rPr>
          <w:rFonts w:hint="eastAsia" w:ascii="宋体" w:hAnsi="宋体" w:cs="宋体"/>
          <w:sz w:val="28"/>
          <w:szCs w:val="28"/>
        </w:rPr>
        <w:t>本单位本年度财政拨款支出</w:t>
      </w:r>
      <w:r>
        <w:rPr>
          <w:rFonts w:ascii="宋体" w:hAnsi="宋体" w:cs="宋体"/>
          <w:sz w:val="28"/>
          <w:szCs w:val="28"/>
        </w:rPr>
        <w:t>294.68</w:t>
      </w:r>
      <w:r>
        <w:rPr>
          <w:rFonts w:hint="eastAsia" w:ascii="宋体" w:hAnsi="宋体" w:cs="宋体"/>
          <w:sz w:val="28"/>
          <w:szCs w:val="28"/>
        </w:rPr>
        <w:t>万元，其中一般公共预算财政拨款支出</w:t>
      </w:r>
      <w:r>
        <w:rPr>
          <w:rFonts w:ascii="宋体" w:hAnsi="宋体" w:cs="宋体"/>
          <w:sz w:val="28"/>
          <w:szCs w:val="28"/>
        </w:rPr>
        <w:t>294.68</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w:t>
      </w:r>
    </w:p>
    <w:p>
      <w:pPr>
        <w:ind w:firstLine="560" w:firstLineChars="200"/>
        <w:rPr>
          <w:rFonts w:ascii="宋体" w:cs="Times New Roman"/>
          <w:sz w:val="28"/>
          <w:szCs w:val="28"/>
        </w:rPr>
      </w:pPr>
      <w:r>
        <w:rPr>
          <w:rFonts w:hint="eastAsia" w:ascii="宋体" w:hAnsi="宋体" w:cs="宋体"/>
          <w:sz w:val="28"/>
          <w:szCs w:val="28"/>
        </w:rPr>
        <w:t>五、一般公共预算财政拨款支出决算情况说明</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、本年度一般公共预算财政拨款支出</w:t>
      </w:r>
      <w:r>
        <w:rPr>
          <w:rFonts w:ascii="宋体" w:hAnsi="宋体" w:cs="宋体"/>
          <w:sz w:val="28"/>
          <w:szCs w:val="28"/>
        </w:rPr>
        <w:t>294.68</w:t>
      </w:r>
      <w:r>
        <w:rPr>
          <w:rFonts w:hint="eastAsia" w:ascii="宋体" w:hAnsi="宋体" w:cs="宋体"/>
          <w:sz w:val="28"/>
          <w:szCs w:val="28"/>
        </w:rPr>
        <w:t>万元，比上年增加</w:t>
      </w:r>
      <w:r>
        <w:rPr>
          <w:rFonts w:ascii="宋体" w:hAnsi="宋体" w:cs="宋体"/>
          <w:sz w:val="28"/>
          <w:szCs w:val="28"/>
        </w:rPr>
        <w:t>49.21</w:t>
      </w:r>
      <w:r>
        <w:rPr>
          <w:rFonts w:hint="eastAsia" w:ascii="宋体" w:hAnsi="宋体" w:cs="宋体"/>
          <w:sz w:val="28"/>
          <w:szCs w:val="28"/>
        </w:rPr>
        <w:t>万元，同比增加</w:t>
      </w:r>
      <w:r>
        <w:rPr>
          <w:rFonts w:ascii="宋体" w:hAnsi="宋体" w:cs="宋体"/>
          <w:sz w:val="28"/>
          <w:szCs w:val="28"/>
        </w:rPr>
        <w:t>20.05%</w:t>
      </w:r>
      <w:r>
        <w:rPr>
          <w:rFonts w:hint="eastAsia" w:ascii="宋体" w:hAnsi="宋体" w:cs="宋体"/>
          <w:sz w:val="28"/>
          <w:szCs w:val="28"/>
        </w:rPr>
        <w:t>。主要原因</w:t>
      </w:r>
      <w:r>
        <w:rPr>
          <w:rFonts w:hint="eastAsia" w:ascii="宋体" w:hAnsi="宋体" w:cs="宋体"/>
          <w:sz w:val="28"/>
          <w:szCs w:val="28"/>
          <w:lang w:eastAsia="zh-CN"/>
        </w:rPr>
        <w:t>：</w:t>
      </w:r>
      <w:bookmarkStart w:id="0" w:name="_GoBack"/>
      <w:bookmarkEnd w:id="0"/>
      <w:r>
        <w:rPr>
          <w:rFonts w:hint="eastAsia" w:ascii="宋体" w:hAnsi="宋体" w:cs="宋体"/>
          <w:sz w:val="28"/>
          <w:szCs w:val="28"/>
        </w:rPr>
        <w:t>是工资普调提标增加了人员经费</w:t>
      </w:r>
      <w:r>
        <w:rPr>
          <w:rFonts w:ascii="宋体" w:hAnsi="宋体" w:cs="宋体"/>
          <w:sz w:val="28"/>
          <w:szCs w:val="28"/>
        </w:rPr>
        <w:t>88.63</w:t>
      </w:r>
      <w:r>
        <w:rPr>
          <w:rFonts w:hint="eastAsia" w:ascii="宋体" w:hAnsi="宋体" w:cs="宋体"/>
          <w:sz w:val="28"/>
          <w:szCs w:val="28"/>
        </w:rPr>
        <w:t>万元，缩减日常公用支出</w:t>
      </w:r>
      <w:r>
        <w:rPr>
          <w:rFonts w:ascii="宋体" w:hAnsi="宋体" w:cs="宋体"/>
          <w:sz w:val="28"/>
          <w:szCs w:val="28"/>
        </w:rPr>
        <w:t>39.42</w:t>
      </w:r>
      <w:r>
        <w:rPr>
          <w:rFonts w:hint="eastAsia" w:ascii="宋体" w:hAnsi="宋体" w:cs="宋体"/>
          <w:sz w:val="28"/>
          <w:szCs w:val="28"/>
        </w:rPr>
        <w:t>万元，总计比上年增加</w:t>
      </w:r>
      <w:r>
        <w:rPr>
          <w:rFonts w:ascii="宋体" w:hAnsi="宋体" w:cs="宋体"/>
          <w:sz w:val="28"/>
          <w:szCs w:val="28"/>
        </w:rPr>
        <w:t>49.21</w:t>
      </w:r>
      <w:r>
        <w:rPr>
          <w:rFonts w:hint="eastAsia" w:ascii="宋体" w:hAnsi="宋体" w:cs="宋体"/>
          <w:sz w:val="28"/>
          <w:szCs w:val="28"/>
        </w:rPr>
        <w:t>万元。</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、本年度一般公共预算财政拨款支出决算结构情况（按功能科目分类）：一般公共服务支出（类）</w:t>
      </w:r>
      <w:r>
        <w:rPr>
          <w:rFonts w:ascii="宋体" w:hAnsi="宋体" w:cs="宋体"/>
          <w:sz w:val="28"/>
          <w:szCs w:val="28"/>
        </w:rPr>
        <w:t>23</w:t>
      </w:r>
      <w:r>
        <w:rPr>
          <w:rFonts w:hint="eastAsia" w:ascii="宋体" w:hAnsi="宋体" w:cs="宋体"/>
          <w:sz w:val="28"/>
          <w:szCs w:val="28"/>
        </w:rPr>
        <w:t>万元，占比</w:t>
      </w:r>
      <w:r>
        <w:rPr>
          <w:rFonts w:ascii="宋体" w:hAnsi="宋体" w:cs="宋体"/>
          <w:sz w:val="28"/>
          <w:szCs w:val="28"/>
        </w:rPr>
        <w:t>7.8%</w:t>
      </w:r>
      <w:r>
        <w:rPr>
          <w:rFonts w:hint="eastAsia" w:ascii="宋体" w:hAnsi="宋体" w:cs="宋体"/>
          <w:sz w:val="28"/>
          <w:szCs w:val="28"/>
        </w:rPr>
        <w:t>；社会保障和就业支出（类）</w:t>
      </w:r>
      <w:r>
        <w:rPr>
          <w:rFonts w:ascii="宋体" w:hAnsi="宋体" w:cs="宋体"/>
          <w:sz w:val="28"/>
          <w:szCs w:val="28"/>
        </w:rPr>
        <w:t>265.76</w:t>
      </w:r>
      <w:r>
        <w:rPr>
          <w:rFonts w:hint="eastAsia" w:ascii="宋体" w:hAnsi="宋体" w:cs="宋体"/>
          <w:sz w:val="28"/>
          <w:szCs w:val="28"/>
        </w:rPr>
        <w:t>万元，占比</w:t>
      </w:r>
      <w:r>
        <w:rPr>
          <w:rFonts w:ascii="宋体" w:hAnsi="宋体" w:cs="宋体"/>
          <w:sz w:val="28"/>
          <w:szCs w:val="28"/>
        </w:rPr>
        <w:t>90.19%</w:t>
      </w:r>
      <w:r>
        <w:rPr>
          <w:rFonts w:hint="eastAsia" w:ascii="宋体" w:hAnsi="宋体" w:cs="宋体"/>
          <w:sz w:val="28"/>
          <w:szCs w:val="28"/>
        </w:rPr>
        <w:t>；；农林水支出</w:t>
      </w:r>
      <w:r>
        <w:rPr>
          <w:rFonts w:ascii="宋体" w:hAnsi="宋体" w:cs="宋体"/>
          <w:sz w:val="28"/>
          <w:szCs w:val="28"/>
        </w:rPr>
        <w:t>2.91</w:t>
      </w:r>
      <w:r>
        <w:rPr>
          <w:rFonts w:hint="eastAsia" w:ascii="宋体" w:hAnsi="宋体" w:cs="宋体"/>
          <w:sz w:val="28"/>
          <w:szCs w:val="28"/>
        </w:rPr>
        <w:t>万元，占比</w:t>
      </w:r>
      <w:r>
        <w:rPr>
          <w:rFonts w:ascii="宋体" w:hAnsi="宋体" w:cs="宋体"/>
          <w:sz w:val="28"/>
          <w:szCs w:val="28"/>
        </w:rPr>
        <w:t>0.99%</w:t>
      </w:r>
      <w:r>
        <w:rPr>
          <w:rFonts w:hint="eastAsia" w:ascii="宋体" w:hAnsi="宋体" w:cs="宋体"/>
          <w:sz w:val="28"/>
          <w:szCs w:val="28"/>
        </w:rPr>
        <w:t>；商业服务业等支出</w:t>
      </w:r>
      <w:r>
        <w:rPr>
          <w:rFonts w:ascii="宋体" w:hAnsi="宋体" w:cs="宋体"/>
          <w:sz w:val="28"/>
          <w:szCs w:val="28"/>
        </w:rPr>
        <w:t>3</w:t>
      </w:r>
      <w:r>
        <w:rPr>
          <w:rFonts w:hint="eastAsia" w:ascii="宋体" w:hAnsi="宋体" w:cs="宋体"/>
          <w:sz w:val="28"/>
          <w:szCs w:val="28"/>
        </w:rPr>
        <w:t>万元，占比</w:t>
      </w:r>
      <w:r>
        <w:rPr>
          <w:rFonts w:ascii="宋体" w:hAnsi="宋体" w:cs="宋体"/>
          <w:sz w:val="28"/>
          <w:szCs w:val="28"/>
        </w:rPr>
        <w:t>1.02%</w:t>
      </w:r>
      <w:r>
        <w:rPr>
          <w:rFonts w:hint="eastAsia" w:ascii="宋体" w:hAnsi="宋体" w:cs="宋体"/>
          <w:sz w:val="28"/>
          <w:szCs w:val="28"/>
        </w:rPr>
        <w:t>。同比上年，一般公共服务支出（类）增加</w:t>
      </w:r>
      <w:r>
        <w:rPr>
          <w:rFonts w:ascii="宋体" w:hAnsi="宋体" w:cs="宋体"/>
          <w:sz w:val="28"/>
          <w:szCs w:val="28"/>
        </w:rPr>
        <w:t>11</w:t>
      </w:r>
      <w:r>
        <w:rPr>
          <w:rFonts w:hint="eastAsia" w:ascii="宋体" w:hAnsi="宋体" w:cs="宋体"/>
          <w:sz w:val="28"/>
          <w:szCs w:val="28"/>
        </w:rPr>
        <w:t>万元，社会保障和就业支出（类）增加</w:t>
      </w:r>
      <w:r>
        <w:rPr>
          <w:rFonts w:ascii="宋体" w:hAnsi="宋体" w:cs="宋体"/>
          <w:sz w:val="28"/>
          <w:szCs w:val="28"/>
        </w:rPr>
        <w:t>33.78</w:t>
      </w:r>
      <w:r>
        <w:rPr>
          <w:rFonts w:hint="eastAsia" w:ascii="宋体" w:hAnsi="宋体" w:cs="宋体"/>
          <w:sz w:val="28"/>
          <w:szCs w:val="28"/>
        </w:rPr>
        <w:t>万元，农林水支出增加</w:t>
      </w:r>
      <w:r>
        <w:rPr>
          <w:rFonts w:ascii="宋体" w:hAnsi="宋体" w:cs="宋体"/>
          <w:sz w:val="28"/>
          <w:szCs w:val="28"/>
        </w:rPr>
        <w:t>1.43</w:t>
      </w:r>
      <w:r>
        <w:rPr>
          <w:rFonts w:hint="eastAsia" w:ascii="宋体" w:hAnsi="宋体" w:cs="宋体"/>
          <w:sz w:val="28"/>
          <w:szCs w:val="28"/>
        </w:rPr>
        <w:t>万元，商业服务业等支出增加</w:t>
      </w:r>
      <w:r>
        <w:rPr>
          <w:rFonts w:ascii="宋体" w:hAnsi="宋体" w:cs="宋体"/>
          <w:sz w:val="28"/>
          <w:szCs w:val="28"/>
        </w:rPr>
        <w:t>3</w:t>
      </w:r>
      <w:r>
        <w:rPr>
          <w:rFonts w:hint="eastAsia" w:ascii="宋体" w:hAnsi="宋体" w:cs="宋体"/>
          <w:sz w:val="28"/>
          <w:szCs w:val="28"/>
        </w:rPr>
        <w:t>万元，总计比上年增加</w:t>
      </w:r>
      <w:r>
        <w:rPr>
          <w:rFonts w:ascii="宋体" w:hAnsi="宋体" w:cs="宋体"/>
          <w:sz w:val="28"/>
          <w:szCs w:val="28"/>
        </w:rPr>
        <w:t>49.21</w:t>
      </w:r>
      <w:r>
        <w:rPr>
          <w:rFonts w:hint="eastAsia" w:ascii="宋体" w:hAnsi="宋体" w:cs="宋体"/>
          <w:sz w:val="28"/>
          <w:szCs w:val="28"/>
        </w:rPr>
        <w:t>万元，主要增加了普调工资和保险缴纳的人员经费。</w:t>
      </w:r>
    </w:p>
    <w:p>
      <w:pPr>
        <w:ind w:firstLine="560" w:firstLineChars="200"/>
        <w:rPr>
          <w:rFonts w:ascii="宋体" w:cs="Times New Roman"/>
          <w:sz w:val="28"/>
          <w:szCs w:val="28"/>
        </w:rPr>
      </w:pPr>
      <w:r>
        <w:rPr>
          <w:rFonts w:hint="eastAsia" w:ascii="宋体" w:hAnsi="宋体" w:cs="宋体"/>
          <w:sz w:val="28"/>
          <w:szCs w:val="28"/>
        </w:rPr>
        <w:t>六、一般公共预算财政拨款基本支出决算情况说明</w:t>
      </w:r>
    </w:p>
    <w:p>
      <w:pPr>
        <w:ind w:firstLine="560" w:firstLineChars="200"/>
        <w:rPr>
          <w:rFonts w:ascii="宋体" w:cs="Times New Roman"/>
          <w:sz w:val="28"/>
          <w:szCs w:val="28"/>
        </w:rPr>
      </w:pPr>
      <w:r>
        <w:rPr>
          <w:rFonts w:hint="eastAsia" w:ascii="宋体" w:hAnsi="宋体" w:cs="宋体"/>
          <w:sz w:val="28"/>
          <w:szCs w:val="28"/>
        </w:rPr>
        <w:t>一般公共预算财政拨款基本支出</w:t>
      </w:r>
      <w:r>
        <w:rPr>
          <w:rFonts w:ascii="宋体" w:hAnsi="宋体" w:cs="宋体"/>
          <w:sz w:val="28"/>
          <w:szCs w:val="28"/>
        </w:rPr>
        <w:t>294.68</w:t>
      </w:r>
      <w:r>
        <w:rPr>
          <w:rFonts w:hint="eastAsia" w:ascii="宋体" w:hAnsi="宋体" w:cs="宋体"/>
          <w:sz w:val="28"/>
          <w:szCs w:val="28"/>
        </w:rPr>
        <w:t>万元，其中：</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、人员经费</w:t>
      </w:r>
      <w:r>
        <w:rPr>
          <w:rFonts w:ascii="宋体" w:hAnsi="宋体" w:cs="宋体"/>
          <w:sz w:val="28"/>
          <w:szCs w:val="28"/>
        </w:rPr>
        <w:t>268.76</w:t>
      </w:r>
      <w:r>
        <w:rPr>
          <w:rFonts w:hint="eastAsia" w:ascii="宋体" w:hAnsi="宋体" w:cs="宋体"/>
          <w:sz w:val="28"/>
          <w:szCs w:val="28"/>
        </w:rPr>
        <w:t>万元，主要包括基本工资、津贴补贴、奖金、伙食补助费、绩效工资、机关事业单位基本养老保险缴费、职业年金缴费、职工基本医疗保险缴费、住房公积金、医疗费、其他社会保障缴费、其他工资福利支出、离休费、退休费、退职（役）费、抚恤金、生活补助、救济费、医疗费补助、助学金、奖励金、个人农业生产补贴、其他对个人和家庭的补助支出等。</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、日常公用经费</w:t>
      </w:r>
      <w:r>
        <w:rPr>
          <w:rFonts w:ascii="宋体" w:hAnsi="宋体" w:cs="宋体"/>
          <w:sz w:val="28"/>
          <w:szCs w:val="28"/>
        </w:rPr>
        <w:t>25.91</w:t>
      </w:r>
      <w:r>
        <w:rPr>
          <w:rFonts w:hint="eastAsia" w:ascii="宋体" w:hAnsi="宋体" w:cs="宋体"/>
          <w:sz w:val="28"/>
          <w:szCs w:val="28"/>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其他资本性支出等。</w:t>
      </w:r>
    </w:p>
    <w:p>
      <w:pPr>
        <w:ind w:firstLine="560" w:firstLineChars="200"/>
        <w:rPr>
          <w:rFonts w:ascii="宋体" w:cs="Times New Roman"/>
          <w:sz w:val="28"/>
          <w:szCs w:val="28"/>
        </w:rPr>
      </w:pPr>
      <w:r>
        <w:rPr>
          <w:rFonts w:hint="eastAsia" w:ascii="宋体" w:hAnsi="宋体" w:cs="宋体"/>
          <w:sz w:val="28"/>
          <w:szCs w:val="28"/>
        </w:rPr>
        <w:t>七、一般公共预算财政拨款“三公”经费决算情况说明</w:t>
      </w:r>
    </w:p>
    <w:p>
      <w:pPr>
        <w:ind w:firstLine="560" w:firstLineChars="200"/>
        <w:rPr>
          <w:rFonts w:ascii="宋体" w:cs="Times New Roman"/>
          <w:sz w:val="28"/>
          <w:szCs w:val="28"/>
        </w:rPr>
      </w:pPr>
      <w:r>
        <w:rPr>
          <w:rFonts w:hint="eastAsia" w:ascii="宋体" w:hAnsi="宋体" w:cs="宋体"/>
          <w:sz w:val="28"/>
          <w:szCs w:val="28"/>
        </w:rPr>
        <w:t>本年度“三公”经费预算数为</w:t>
      </w:r>
      <w:r>
        <w:rPr>
          <w:rFonts w:ascii="宋体" w:hAnsi="宋体" w:cs="宋体"/>
          <w:sz w:val="28"/>
          <w:szCs w:val="28"/>
        </w:rPr>
        <w:t>2</w:t>
      </w:r>
      <w:r>
        <w:rPr>
          <w:rFonts w:hint="eastAsia" w:ascii="宋体" w:hAnsi="宋体" w:cs="宋体"/>
          <w:sz w:val="28"/>
          <w:szCs w:val="28"/>
        </w:rPr>
        <w:t>万元，决算数为</w:t>
      </w:r>
      <w:r>
        <w:rPr>
          <w:rFonts w:ascii="宋体" w:hAnsi="宋体" w:cs="宋体"/>
          <w:sz w:val="28"/>
          <w:szCs w:val="28"/>
        </w:rPr>
        <w:t>1.18</w:t>
      </w:r>
      <w:r>
        <w:rPr>
          <w:rFonts w:hint="eastAsia" w:ascii="宋体" w:hAnsi="宋体" w:cs="宋体"/>
          <w:sz w:val="28"/>
          <w:szCs w:val="28"/>
        </w:rPr>
        <w:t>万元，完成预算的</w:t>
      </w:r>
      <w:r>
        <w:rPr>
          <w:rFonts w:ascii="宋体" w:hAnsi="宋体" w:cs="宋体"/>
          <w:sz w:val="28"/>
          <w:szCs w:val="28"/>
        </w:rPr>
        <w:t>59%</w:t>
      </w:r>
      <w:r>
        <w:rPr>
          <w:rFonts w:hint="eastAsia" w:ascii="宋体" w:hAnsi="宋体" w:cs="宋体"/>
          <w:sz w:val="28"/>
          <w:szCs w:val="28"/>
        </w:rPr>
        <w:t>，预算数与上年持同，与上年决算数比较，小于上年数</w:t>
      </w:r>
      <w:r>
        <w:rPr>
          <w:rFonts w:ascii="宋体" w:hAnsi="宋体" w:cs="宋体"/>
          <w:sz w:val="28"/>
          <w:szCs w:val="28"/>
        </w:rPr>
        <w:t>0.19</w:t>
      </w:r>
      <w:r>
        <w:rPr>
          <w:rFonts w:hint="eastAsia" w:ascii="宋体" w:hAnsi="宋体" w:cs="宋体"/>
          <w:sz w:val="28"/>
          <w:szCs w:val="28"/>
        </w:rPr>
        <w:t>万元。</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、因公出国（境）费支出</w:t>
      </w:r>
      <w:r>
        <w:rPr>
          <w:rFonts w:ascii="宋体" w:cs="宋体"/>
          <w:sz w:val="28"/>
          <w:szCs w:val="28"/>
        </w:rPr>
        <w:t>0</w:t>
      </w:r>
      <w:r>
        <w:rPr>
          <w:rFonts w:hint="eastAsia" w:ascii="宋体" w:hAnsi="宋体" w:cs="宋体"/>
          <w:sz w:val="28"/>
          <w:szCs w:val="28"/>
        </w:rPr>
        <w:t>万元，共组团</w:t>
      </w:r>
      <w:r>
        <w:rPr>
          <w:rFonts w:ascii="宋体" w:cs="宋体"/>
          <w:sz w:val="28"/>
          <w:szCs w:val="28"/>
        </w:rPr>
        <w:t>0</w:t>
      </w:r>
      <w:r>
        <w:rPr>
          <w:rFonts w:hint="eastAsia" w:ascii="宋体" w:hAnsi="宋体" w:cs="宋体"/>
          <w:sz w:val="28"/>
          <w:szCs w:val="28"/>
        </w:rPr>
        <w:t>个</w:t>
      </w:r>
      <w:r>
        <w:rPr>
          <w:rFonts w:ascii="宋体" w:cs="宋体"/>
          <w:sz w:val="28"/>
          <w:szCs w:val="28"/>
        </w:rPr>
        <w:t>0</w:t>
      </w:r>
      <w:r>
        <w:rPr>
          <w:rFonts w:hint="eastAsia" w:ascii="宋体" w:hAnsi="宋体" w:cs="宋体"/>
          <w:sz w:val="28"/>
          <w:szCs w:val="28"/>
        </w:rPr>
        <w:t>人次。</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、公务用车购置及运行维护费支出</w:t>
      </w:r>
      <w:r>
        <w:rPr>
          <w:rFonts w:ascii="宋体" w:cs="宋体"/>
          <w:sz w:val="28"/>
          <w:szCs w:val="28"/>
        </w:rPr>
        <w:t>0</w:t>
      </w:r>
      <w:r>
        <w:rPr>
          <w:rFonts w:hint="eastAsia" w:ascii="宋体" w:hAnsi="宋体" w:cs="宋体"/>
          <w:sz w:val="28"/>
          <w:szCs w:val="28"/>
        </w:rPr>
        <w:t>万元（公务用车购置费支出</w:t>
      </w:r>
      <w:r>
        <w:rPr>
          <w:rFonts w:ascii="宋体" w:cs="宋体"/>
          <w:sz w:val="28"/>
          <w:szCs w:val="28"/>
        </w:rPr>
        <w:t>0</w:t>
      </w:r>
      <w:r>
        <w:rPr>
          <w:rFonts w:hint="eastAsia" w:ascii="宋体" w:hAnsi="宋体" w:cs="宋体"/>
          <w:sz w:val="28"/>
          <w:szCs w:val="28"/>
        </w:rPr>
        <w:t>万元，公务用车购置</w:t>
      </w:r>
      <w:r>
        <w:rPr>
          <w:rFonts w:ascii="宋体" w:cs="宋体"/>
          <w:sz w:val="28"/>
          <w:szCs w:val="28"/>
        </w:rPr>
        <w:t>0</w:t>
      </w:r>
      <w:r>
        <w:rPr>
          <w:rFonts w:hint="eastAsia" w:ascii="宋体" w:hAnsi="宋体" w:cs="宋体"/>
          <w:sz w:val="28"/>
          <w:szCs w:val="28"/>
        </w:rPr>
        <w:t>台。公务用车运行维护费支出</w:t>
      </w:r>
      <w:r>
        <w:rPr>
          <w:rFonts w:ascii="宋体" w:cs="宋体"/>
          <w:sz w:val="28"/>
          <w:szCs w:val="28"/>
        </w:rPr>
        <w:t>0</w:t>
      </w:r>
      <w:r>
        <w:rPr>
          <w:rFonts w:hint="eastAsia" w:ascii="宋体" w:hAnsi="宋体" w:cs="宋体"/>
          <w:sz w:val="28"/>
          <w:szCs w:val="28"/>
        </w:rPr>
        <w:t>万元，公务车辆保有</w:t>
      </w:r>
      <w:r>
        <w:rPr>
          <w:rFonts w:ascii="宋体" w:cs="宋体"/>
          <w:sz w:val="28"/>
          <w:szCs w:val="28"/>
        </w:rPr>
        <w:t>0</w:t>
      </w:r>
      <w:r>
        <w:rPr>
          <w:rFonts w:hint="eastAsia" w:ascii="宋体" w:hAnsi="宋体" w:cs="宋体"/>
          <w:sz w:val="28"/>
          <w:szCs w:val="28"/>
        </w:rPr>
        <w:t>辆）。</w:t>
      </w:r>
    </w:p>
    <w:p>
      <w:pPr>
        <w:ind w:firstLine="560" w:firstLineChars="200"/>
        <w:rPr>
          <w:rFonts w:ascii="宋体" w:cs="Times New Roman"/>
          <w:sz w:val="28"/>
          <w:szCs w:val="28"/>
        </w:rPr>
      </w:pPr>
      <w:r>
        <w:rPr>
          <w:rFonts w:ascii="宋体" w:hAnsi="宋体" w:cs="宋体"/>
          <w:sz w:val="28"/>
          <w:szCs w:val="28"/>
        </w:rPr>
        <w:t>3</w:t>
      </w:r>
      <w:r>
        <w:rPr>
          <w:rFonts w:hint="eastAsia" w:ascii="宋体" w:hAnsi="宋体" w:cs="宋体"/>
          <w:sz w:val="28"/>
          <w:szCs w:val="28"/>
        </w:rPr>
        <w:t>、公务接待费支出</w:t>
      </w:r>
      <w:r>
        <w:rPr>
          <w:rFonts w:ascii="宋体" w:hAnsi="宋体" w:cs="宋体"/>
          <w:sz w:val="28"/>
          <w:szCs w:val="28"/>
        </w:rPr>
        <w:t>1.18</w:t>
      </w:r>
      <w:r>
        <w:rPr>
          <w:rFonts w:hint="eastAsia" w:ascii="宋体" w:hAnsi="宋体" w:cs="宋体"/>
          <w:sz w:val="28"/>
          <w:szCs w:val="28"/>
        </w:rPr>
        <w:t>万元，公务接待</w:t>
      </w:r>
      <w:r>
        <w:rPr>
          <w:rFonts w:ascii="宋体" w:hAnsi="宋体" w:cs="宋体"/>
          <w:sz w:val="28"/>
          <w:szCs w:val="28"/>
        </w:rPr>
        <w:t>30</w:t>
      </w:r>
      <w:r>
        <w:rPr>
          <w:rFonts w:hint="eastAsia" w:ascii="宋体" w:hAnsi="宋体" w:cs="宋体"/>
          <w:sz w:val="28"/>
          <w:szCs w:val="28"/>
        </w:rPr>
        <w:t>批</w:t>
      </w:r>
      <w:r>
        <w:rPr>
          <w:rFonts w:ascii="宋体" w:hAnsi="宋体" w:cs="宋体"/>
          <w:sz w:val="28"/>
          <w:szCs w:val="28"/>
        </w:rPr>
        <w:t>190</w:t>
      </w:r>
      <w:r>
        <w:rPr>
          <w:rFonts w:hint="eastAsia" w:ascii="宋体" w:hAnsi="宋体" w:cs="宋体"/>
          <w:sz w:val="28"/>
          <w:szCs w:val="28"/>
        </w:rPr>
        <w:t>人次。与预算数比较，小于预算数</w:t>
      </w:r>
      <w:r>
        <w:rPr>
          <w:rFonts w:ascii="宋体" w:hAnsi="宋体" w:cs="宋体"/>
          <w:sz w:val="28"/>
          <w:szCs w:val="28"/>
        </w:rPr>
        <w:t>0.82</w:t>
      </w:r>
      <w:r>
        <w:rPr>
          <w:rFonts w:hint="eastAsia" w:ascii="宋体" w:hAnsi="宋体" w:cs="宋体"/>
          <w:sz w:val="28"/>
          <w:szCs w:val="28"/>
        </w:rPr>
        <w:t>万元。与上年决算数比较，小于上年数</w:t>
      </w:r>
      <w:r>
        <w:rPr>
          <w:rFonts w:ascii="宋体" w:hAnsi="宋体" w:cs="宋体"/>
          <w:sz w:val="28"/>
          <w:szCs w:val="28"/>
        </w:rPr>
        <w:t>0.19</w:t>
      </w:r>
      <w:r>
        <w:rPr>
          <w:rFonts w:hint="eastAsia" w:ascii="宋体" w:hAnsi="宋体" w:cs="宋体"/>
          <w:sz w:val="28"/>
          <w:szCs w:val="28"/>
        </w:rPr>
        <w:t>万元，原因是接待批次和人次减少。</w:t>
      </w:r>
    </w:p>
    <w:p>
      <w:pPr>
        <w:ind w:firstLine="560" w:firstLineChars="200"/>
        <w:rPr>
          <w:rFonts w:ascii="宋体" w:cs="Times New Roman"/>
          <w:sz w:val="28"/>
          <w:szCs w:val="28"/>
        </w:rPr>
      </w:pPr>
      <w:r>
        <w:rPr>
          <w:rFonts w:hint="eastAsia" w:ascii="宋体" w:hAnsi="宋体" w:cs="宋体"/>
          <w:sz w:val="28"/>
          <w:szCs w:val="28"/>
        </w:rPr>
        <w:t>八、政府性基金收支决算情况说明</w:t>
      </w:r>
    </w:p>
    <w:p>
      <w:pPr>
        <w:ind w:firstLine="560" w:firstLineChars="200"/>
        <w:rPr>
          <w:rFonts w:ascii="宋体" w:cs="Times New Roman"/>
          <w:sz w:val="28"/>
          <w:szCs w:val="28"/>
        </w:rPr>
      </w:pPr>
      <w:r>
        <w:rPr>
          <w:rFonts w:hint="eastAsia" w:ascii="宋体" w:hAnsi="宋体" w:cs="宋体"/>
          <w:sz w:val="28"/>
          <w:szCs w:val="28"/>
        </w:rPr>
        <w:t>本单位本年度没有使用政府性基金预算拨款安排的支出。</w:t>
      </w:r>
    </w:p>
    <w:p>
      <w:pPr>
        <w:rPr>
          <w:rFonts w:ascii="宋体" w:cs="Times New Roman"/>
          <w:sz w:val="28"/>
          <w:szCs w:val="28"/>
        </w:rPr>
      </w:pPr>
      <w:r>
        <w:rPr>
          <w:rFonts w:hint="eastAsia" w:ascii="宋体" w:hAnsi="宋体" w:cs="宋体"/>
          <w:sz w:val="28"/>
          <w:szCs w:val="28"/>
        </w:rPr>
        <w:t>九、预算绩效情况说明</w:t>
      </w:r>
    </w:p>
    <w:p>
      <w:pPr>
        <w:ind w:firstLine="560" w:firstLineChars="200"/>
        <w:rPr>
          <w:rFonts w:ascii="宋体" w:cs="Times New Roman"/>
          <w:sz w:val="28"/>
          <w:szCs w:val="28"/>
        </w:rPr>
      </w:pPr>
      <w:r>
        <w:rPr>
          <w:rFonts w:hint="eastAsia" w:ascii="宋体" w:hAnsi="宋体" w:cs="宋体"/>
          <w:sz w:val="28"/>
          <w:szCs w:val="28"/>
        </w:rPr>
        <w:t>本单位按要求对</w:t>
      </w:r>
      <w:r>
        <w:rPr>
          <w:rFonts w:ascii="宋体" w:hAnsi="宋体" w:cs="宋体"/>
          <w:sz w:val="28"/>
          <w:szCs w:val="28"/>
        </w:rPr>
        <w:t>2019</w:t>
      </w:r>
      <w:r>
        <w:rPr>
          <w:rFonts w:hint="eastAsia" w:ascii="宋体" w:hAnsi="宋体" w:cs="宋体"/>
          <w:sz w:val="28"/>
          <w:szCs w:val="28"/>
        </w:rPr>
        <w:t>年部门整体支出开展预算绩效管理工作，各项重点工作有序推进，目标任务全面完成，实现了年初预算绩效目标。我单位将进一步加强财政资金预算绩效管理，更加科学合理编制经费预算，进一步完善财务管理制度及内部控制制度，加强“三公”经费管理，规范财务核算，提高财政资金使用效率。</w:t>
      </w:r>
    </w:p>
    <w:p>
      <w:pPr>
        <w:ind w:firstLine="560" w:firstLineChars="200"/>
        <w:rPr>
          <w:rFonts w:ascii="宋体" w:cs="Times New Roman"/>
          <w:sz w:val="28"/>
          <w:szCs w:val="28"/>
        </w:rPr>
      </w:pPr>
      <w:r>
        <w:rPr>
          <w:rFonts w:hint="eastAsia" w:ascii="宋体" w:hAnsi="宋体" w:cs="宋体"/>
          <w:sz w:val="28"/>
          <w:szCs w:val="28"/>
        </w:rPr>
        <w:t>十、其他重要事项的情况说明</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、机关运行经费</w:t>
      </w:r>
    </w:p>
    <w:p>
      <w:pPr>
        <w:ind w:firstLine="560" w:firstLineChars="200"/>
        <w:rPr>
          <w:rFonts w:ascii="宋体" w:cs="Times New Roman"/>
          <w:sz w:val="28"/>
          <w:szCs w:val="28"/>
        </w:rPr>
      </w:pPr>
      <w:r>
        <w:rPr>
          <w:rFonts w:hint="eastAsia" w:ascii="宋体" w:hAnsi="宋体" w:cs="宋体"/>
          <w:sz w:val="28"/>
          <w:szCs w:val="28"/>
        </w:rPr>
        <w:t>本年度机关运行经费支出为</w:t>
      </w:r>
      <w:r>
        <w:rPr>
          <w:rFonts w:ascii="宋体" w:hAnsi="宋体" w:cs="宋体"/>
          <w:sz w:val="28"/>
          <w:szCs w:val="28"/>
        </w:rPr>
        <w:t>25.91</w:t>
      </w:r>
      <w:r>
        <w:rPr>
          <w:rFonts w:hint="eastAsia" w:ascii="宋体" w:hAnsi="宋体" w:cs="宋体"/>
          <w:sz w:val="28"/>
          <w:szCs w:val="28"/>
        </w:rPr>
        <w:t>万元，比上年支出减少了</w:t>
      </w:r>
      <w:r>
        <w:rPr>
          <w:rFonts w:ascii="宋体" w:hAnsi="宋体" w:cs="宋体"/>
          <w:sz w:val="28"/>
          <w:szCs w:val="28"/>
        </w:rPr>
        <w:t>39.42</w:t>
      </w:r>
      <w:r>
        <w:rPr>
          <w:rFonts w:hint="eastAsia" w:ascii="宋体" w:hAnsi="宋体" w:cs="宋体"/>
          <w:sz w:val="28"/>
          <w:szCs w:val="28"/>
        </w:rPr>
        <w:t>万元，减少原因是缩减了办公费、印刷费、公务接待费等开支。</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、政府采购情况</w:t>
      </w:r>
    </w:p>
    <w:p>
      <w:pPr>
        <w:ind w:firstLine="560" w:firstLineChars="200"/>
        <w:rPr>
          <w:rFonts w:ascii="宋体" w:cs="宋体"/>
          <w:sz w:val="28"/>
          <w:szCs w:val="28"/>
        </w:rPr>
      </w:pPr>
      <w:r>
        <w:rPr>
          <w:rFonts w:hint="eastAsia" w:ascii="宋体" w:hAnsi="宋体" w:cs="宋体"/>
          <w:sz w:val="28"/>
          <w:szCs w:val="28"/>
        </w:rPr>
        <w:t>本年度，政府采购支出总额</w:t>
      </w:r>
      <w:r>
        <w:rPr>
          <w:rFonts w:ascii="宋体" w:cs="宋体"/>
          <w:sz w:val="28"/>
          <w:szCs w:val="28"/>
        </w:rPr>
        <w:t>10</w:t>
      </w:r>
      <w:r>
        <w:rPr>
          <w:rFonts w:hint="eastAsia" w:ascii="宋体" w:hAnsi="宋体" w:cs="宋体"/>
          <w:sz w:val="28"/>
          <w:szCs w:val="28"/>
        </w:rPr>
        <w:t>万元，其中：政府采购货物支出</w:t>
      </w:r>
      <w:r>
        <w:rPr>
          <w:rFonts w:ascii="宋体" w:hAnsi="宋体" w:cs="宋体"/>
          <w:sz w:val="28"/>
          <w:szCs w:val="28"/>
        </w:rPr>
        <w:t>10</w:t>
      </w:r>
      <w:r>
        <w:rPr>
          <w:rFonts w:hint="eastAsia" w:ascii="宋体" w:hAnsi="宋体" w:cs="宋体"/>
          <w:sz w:val="28"/>
          <w:szCs w:val="28"/>
        </w:rPr>
        <w:t>万元、政府采购工程支出</w:t>
      </w:r>
      <w:r>
        <w:rPr>
          <w:rFonts w:ascii="宋体" w:hAnsi="宋体" w:cs="宋体"/>
          <w:sz w:val="28"/>
          <w:szCs w:val="28"/>
        </w:rPr>
        <w:t>0</w:t>
      </w:r>
      <w:r>
        <w:rPr>
          <w:rFonts w:hint="eastAsia" w:ascii="宋体" w:hAnsi="宋体" w:cs="宋体"/>
          <w:sz w:val="28"/>
          <w:szCs w:val="28"/>
        </w:rPr>
        <w:t>万元、政府采购服务支出</w:t>
      </w:r>
      <w:r>
        <w:rPr>
          <w:rFonts w:ascii="宋体" w:hAnsi="宋体" w:cs="宋体"/>
          <w:sz w:val="28"/>
          <w:szCs w:val="28"/>
        </w:rPr>
        <w:t>0</w:t>
      </w:r>
      <w:r>
        <w:rPr>
          <w:rFonts w:hint="eastAsia" w:ascii="宋体" w:hAnsi="宋体" w:cs="宋体"/>
          <w:sz w:val="28"/>
          <w:szCs w:val="28"/>
        </w:rPr>
        <w:t>万元。授予中小企业合同金额</w:t>
      </w:r>
      <w:r>
        <w:rPr>
          <w:rFonts w:ascii="宋体" w:hAnsi="宋体" w:cs="宋体"/>
          <w:sz w:val="28"/>
          <w:szCs w:val="28"/>
        </w:rPr>
        <w:t>0</w:t>
      </w:r>
      <w:r>
        <w:rPr>
          <w:rFonts w:hint="eastAsia" w:ascii="宋体" w:hAnsi="宋体" w:cs="宋体"/>
          <w:sz w:val="28"/>
          <w:szCs w:val="28"/>
        </w:rPr>
        <w:t>万元，占政府采购支出总额的</w:t>
      </w:r>
      <w:r>
        <w:rPr>
          <w:rFonts w:ascii="宋体" w:hAnsi="宋体" w:cs="宋体"/>
          <w:sz w:val="28"/>
          <w:szCs w:val="28"/>
        </w:rPr>
        <w:t>0%</w:t>
      </w:r>
      <w:r>
        <w:rPr>
          <w:rFonts w:hint="eastAsia" w:ascii="宋体" w:hAnsi="宋体" w:cs="宋体"/>
          <w:sz w:val="28"/>
          <w:szCs w:val="28"/>
        </w:rPr>
        <w:t>，其中：授予小微企业合同金额</w:t>
      </w:r>
      <w:r>
        <w:rPr>
          <w:rFonts w:ascii="宋体" w:hAnsi="宋体" w:cs="宋体"/>
          <w:sz w:val="28"/>
          <w:szCs w:val="28"/>
        </w:rPr>
        <w:t>0</w:t>
      </w:r>
      <w:r>
        <w:rPr>
          <w:rFonts w:hint="eastAsia" w:ascii="宋体" w:hAnsi="宋体" w:cs="宋体"/>
          <w:sz w:val="28"/>
          <w:szCs w:val="28"/>
        </w:rPr>
        <w:t>万元，占政府采购支出总额的</w:t>
      </w:r>
      <w:r>
        <w:rPr>
          <w:rFonts w:ascii="宋体" w:hAnsi="宋体" w:cs="宋体"/>
          <w:sz w:val="28"/>
          <w:szCs w:val="28"/>
        </w:rPr>
        <w:t>0%</w:t>
      </w:r>
      <w:r>
        <w:rPr>
          <w:rFonts w:hint="eastAsia" w:ascii="宋体" w:hAnsi="宋体" w:cs="宋体"/>
          <w:sz w:val="28"/>
          <w:szCs w:val="28"/>
        </w:rPr>
        <w:t>。</w:t>
      </w:r>
    </w:p>
    <w:p>
      <w:pPr>
        <w:rPr>
          <w:rFonts w:ascii="宋体" w:cs="Times New Roman"/>
          <w:sz w:val="28"/>
          <w:szCs w:val="28"/>
        </w:rPr>
      </w:pPr>
      <w:r>
        <w:rPr>
          <w:rFonts w:ascii="宋体" w:hAnsi="宋体" w:cs="宋体"/>
          <w:sz w:val="28"/>
          <w:szCs w:val="28"/>
        </w:rPr>
        <w:t>3</w:t>
      </w:r>
      <w:r>
        <w:rPr>
          <w:rFonts w:hint="eastAsia" w:ascii="宋体" w:hAnsi="宋体" w:cs="宋体"/>
          <w:sz w:val="28"/>
          <w:szCs w:val="28"/>
        </w:rPr>
        <w:t>、国有资产占有使用情况</w:t>
      </w:r>
    </w:p>
    <w:p>
      <w:pPr>
        <w:pStyle w:val="5"/>
        <w:widowControl/>
        <w:spacing w:line="360" w:lineRule="auto"/>
        <w:ind w:firstLine="506" w:firstLineChars="181"/>
        <w:jc w:val="both"/>
        <w:rPr>
          <w:rFonts w:ascii="宋体" w:cs="Times New Roman"/>
          <w:sz w:val="28"/>
          <w:szCs w:val="28"/>
        </w:rPr>
      </w:pPr>
      <w:r>
        <w:rPr>
          <w:rFonts w:hint="eastAsia" w:ascii="宋体" w:hAnsi="宋体" w:cs="宋体"/>
          <w:sz w:val="28"/>
          <w:szCs w:val="28"/>
        </w:rPr>
        <w:t>截止到</w:t>
      </w:r>
      <w:r>
        <w:rPr>
          <w:rFonts w:ascii="宋体" w:hAnsi="宋体" w:cs="宋体"/>
          <w:sz w:val="28"/>
          <w:szCs w:val="28"/>
        </w:rPr>
        <w:t>2019</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w:t>
      </w:r>
      <w:r>
        <w:rPr>
          <w:rFonts w:ascii="宋体" w:hAnsi="宋体" w:cs="宋体"/>
          <w:sz w:val="28"/>
          <w:szCs w:val="28"/>
        </w:rPr>
        <w:t>31</w:t>
      </w:r>
      <w:r>
        <w:rPr>
          <w:rFonts w:hint="eastAsia" w:ascii="宋体" w:hAnsi="宋体" w:cs="宋体"/>
          <w:sz w:val="28"/>
          <w:szCs w:val="28"/>
        </w:rPr>
        <w:t>日止，本单位共有车辆</w:t>
      </w:r>
      <w:r>
        <w:rPr>
          <w:rFonts w:ascii="宋体" w:cs="宋体"/>
          <w:sz w:val="28"/>
          <w:szCs w:val="28"/>
        </w:rPr>
        <w:t>0</w:t>
      </w:r>
      <w:r>
        <w:rPr>
          <w:rFonts w:hint="eastAsia" w:ascii="宋体" w:hAnsi="宋体" w:cs="宋体"/>
          <w:sz w:val="28"/>
          <w:szCs w:val="28"/>
        </w:rPr>
        <w:t>辆。单位价值</w:t>
      </w:r>
      <w:r>
        <w:rPr>
          <w:rFonts w:ascii="宋体" w:hAnsi="宋体" w:cs="宋体"/>
          <w:sz w:val="28"/>
          <w:szCs w:val="28"/>
        </w:rPr>
        <w:t>10</w:t>
      </w:r>
      <w:r>
        <w:rPr>
          <w:rFonts w:hint="eastAsia" w:ascii="宋体" w:hAnsi="宋体" w:cs="宋体"/>
          <w:sz w:val="28"/>
          <w:szCs w:val="28"/>
        </w:rPr>
        <w:t>万元以上的通用设备</w:t>
      </w:r>
      <w:r>
        <w:rPr>
          <w:rFonts w:ascii="宋体" w:cs="宋体"/>
          <w:sz w:val="28"/>
          <w:szCs w:val="28"/>
        </w:rPr>
        <w:t>0</w:t>
      </w:r>
      <w:r>
        <w:rPr>
          <w:rFonts w:hint="eastAsia" w:ascii="宋体" w:hAnsi="宋体" w:cs="宋体"/>
          <w:sz w:val="28"/>
          <w:szCs w:val="28"/>
        </w:rPr>
        <w:t>台（套），单位价值</w:t>
      </w:r>
      <w:r>
        <w:rPr>
          <w:rFonts w:ascii="宋体" w:hAnsi="宋体" w:cs="宋体"/>
          <w:sz w:val="28"/>
          <w:szCs w:val="28"/>
        </w:rPr>
        <w:t>100</w:t>
      </w:r>
      <w:r>
        <w:rPr>
          <w:rFonts w:hint="eastAsia" w:ascii="宋体" w:hAnsi="宋体" w:cs="宋体"/>
          <w:sz w:val="28"/>
          <w:szCs w:val="28"/>
        </w:rPr>
        <w:t>万元以上的大型设备</w:t>
      </w:r>
      <w:r>
        <w:rPr>
          <w:rFonts w:ascii="宋体" w:cs="宋体"/>
          <w:sz w:val="28"/>
          <w:szCs w:val="28"/>
        </w:rPr>
        <w:t>0</w:t>
      </w:r>
      <w:r>
        <w:rPr>
          <w:rFonts w:hint="eastAsia" w:ascii="宋体" w:hAnsi="宋体" w:cs="宋体"/>
          <w:sz w:val="28"/>
          <w:szCs w:val="28"/>
        </w:rPr>
        <w:t>台（套）。</w:t>
      </w:r>
    </w:p>
    <w:p>
      <w:pPr>
        <w:ind w:firstLine="560" w:firstLineChars="200"/>
        <w:rPr>
          <w:rFonts w:ascii="宋体" w:cs="Times New Roman"/>
          <w:sz w:val="28"/>
          <w:szCs w:val="28"/>
        </w:rPr>
      </w:pPr>
      <w:r>
        <w:rPr>
          <w:rFonts w:hint="eastAsia" w:ascii="宋体" w:hAnsi="宋体" w:cs="宋体"/>
          <w:sz w:val="28"/>
          <w:szCs w:val="28"/>
        </w:rPr>
        <w:t>第四部分</w:t>
      </w:r>
      <w:r>
        <w:rPr>
          <w:rFonts w:ascii="宋体" w:cs="Times New Roman"/>
          <w:sz w:val="28"/>
          <w:szCs w:val="28"/>
        </w:rPr>
        <w:t> </w:t>
      </w:r>
      <w:r>
        <w:rPr>
          <w:rFonts w:ascii="宋体" w:hAnsi="宋体" w:cs="宋体"/>
          <w:sz w:val="28"/>
          <w:szCs w:val="28"/>
        </w:rPr>
        <w:t xml:space="preserve"> </w:t>
      </w:r>
      <w:r>
        <w:rPr>
          <w:rFonts w:hint="eastAsia" w:ascii="宋体" w:hAnsi="宋体" w:cs="宋体"/>
          <w:sz w:val="28"/>
          <w:szCs w:val="28"/>
        </w:rPr>
        <w:t>名词解释</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机关运行经费：是指公用经费，包括办公及印刷费、邮电费、差旅费、会议费、福利费、日常维修费、专用资料及一般设备购置费、办公用房水电费、办公用房取暖费、办公用房物业管理费、公务用车运行维护费以及其他费用。</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1</w:t>
    </w:r>
    <w:r>
      <w:rPr>
        <w:rFonts w:ascii="Arial" w:hAnsi="Arial" w:cs="Arial"/>
        <w:b/>
        <w:bCs/>
        <w:sz w:val="21"/>
        <w:szCs w:val="21"/>
      </w:rPr>
      <w:fldChar w:fldCharType="end"/>
    </w:r>
    <w:r>
      <w:rPr>
        <w:rFonts w:hint="eastAsia" w:cs="宋体"/>
        <w:b/>
        <w:bCs/>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A8E"/>
    <w:rsid w:val="0000396C"/>
    <w:rsid w:val="00004284"/>
    <w:rsid w:val="00014F8D"/>
    <w:rsid w:val="000222C6"/>
    <w:rsid w:val="0002580F"/>
    <w:rsid w:val="00045381"/>
    <w:rsid w:val="00053B5E"/>
    <w:rsid w:val="000630FC"/>
    <w:rsid w:val="00063E5A"/>
    <w:rsid w:val="00067E96"/>
    <w:rsid w:val="00071237"/>
    <w:rsid w:val="000722E1"/>
    <w:rsid w:val="0007388B"/>
    <w:rsid w:val="000B0A22"/>
    <w:rsid w:val="000D6264"/>
    <w:rsid w:val="000D67F9"/>
    <w:rsid w:val="000D734F"/>
    <w:rsid w:val="0010547A"/>
    <w:rsid w:val="001126DE"/>
    <w:rsid w:val="00121BEB"/>
    <w:rsid w:val="00121CF7"/>
    <w:rsid w:val="001313C1"/>
    <w:rsid w:val="0013198D"/>
    <w:rsid w:val="001374CC"/>
    <w:rsid w:val="0014319B"/>
    <w:rsid w:val="0016239A"/>
    <w:rsid w:val="001738C6"/>
    <w:rsid w:val="00183932"/>
    <w:rsid w:val="00196737"/>
    <w:rsid w:val="001B2D55"/>
    <w:rsid w:val="001B405B"/>
    <w:rsid w:val="001C55ED"/>
    <w:rsid w:val="001C76D8"/>
    <w:rsid w:val="001C7DF1"/>
    <w:rsid w:val="001D0B9C"/>
    <w:rsid w:val="001E1311"/>
    <w:rsid w:val="001E6440"/>
    <w:rsid w:val="001F2ECD"/>
    <w:rsid w:val="001F6302"/>
    <w:rsid w:val="00221C69"/>
    <w:rsid w:val="0022273F"/>
    <w:rsid w:val="00223992"/>
    <w:rsid w:val="0024661A"/>
    <w:rsid w:val="00257294"/>
    <w:rsid w:val="00280052"/>
    <w:rsid w:val="002831E7"/>
    <w:rsid w:val="00286CB1"/>
    <w:rsid w:val="00287575"/>
    <w:rsid w:val="00292248"/>
    <w:rsid w:val="002B7EE0"/>
    <w:rsid w:val="002C63D5"/>
    <w:rsid w:val="002E53F4"/>
    <w:rsid w:val="002F06C2"/>
    <w:rsid w:val="002F3363"/>
    <w:rsid w:val="002F570A"/>
    <w:rsid w:val="002F7152"/>
    <w:rsid w:val="00302072"/>
    <w:rsid w:val="00312528"/>
    <w:rsid w:val="0032659A"/>
    <w:rsid w:val="00331212"/>
    <w:rsid w:val="003368E2"/>
    <w:rsid w:val="00342ACE"/>
    <w:rsid w:val="0034481E"/>
    <w:rsid w:val="00366933"/>
    <w:rsid w:val="0037181E"/>
    <w:rsid w:val="003859BE"/>
    <w:rsid w:val="003946BD"/>
    <w:rsid w:val="003A3EF4"/>
    <w:rsid w:val="003B595F"/>
    <w:rsid w:val="003B6059"/>
    <w:rsid w:val="003B62C4"/>
    <w:rsid w:val="003C0E07"/>
    <w:rsid w:val="003C2005"/>
    <w:rsid w:val="003C55FC"/>
    <w:rsid w:val="003C7583"/>
    <w:rsid w:val="003D12D8"/>
    <w:rsid w:val="003D6D54"/>
    <w:rsid w:val="003E6AD9"/>
    <w:rsid w:val="003F0B3B"/>
    <w:rsid w:val="0040182F"/>
    <w:rsid w:val="00404E19"/>
    <w:rsid w:val="004104EE"/>
    <w:rsid w:val="0042466C"/>
    <w:rsid w:val="00427E6F"/>
    <w:rsid w:val="00437217"/>
    <w:rsid w:val="004428B6"/>
    <w:rsid w:val="00443EB8"/>
    <w:rsid w:val="00445114"/>
    <w:rsid w:val="00446B1E"/>
    <w:rsid w:val="00456DB2"/>
    <w:rsid w:val="004663EB"/>
    <w:rsid w:val="00474309"/>
    <w:rsid w:val="00475D94"/>
    <w:rsid w:val="004908FF"/>
    <w:rsid w:val="00490C44"/>
    <w:rsid w:val="00490D3D"/>
    <w:rsid w:val="004A03D3"/>
    <w:rsid w:val="004A5F66"/>
    <w:rsid w:val="004C0935"/>
    <w:rsid w:val="004C441C"/>
    <w:rsid w:val="004C61DC"/>
    <w:rsid w:val="004C668D"/>
    <w:rsid w:val="004E3160"/>
    <w:rsid w:val="004E6C9F"/>
    <w:rsid w:val="004F2857"/>
    <w:rsid w:val="004F679E"/>
    <w:rsid w:val="00512960"/>
    <w:rsid w:val="0051730E"/>
    <w:rsid w:val="00531E52"/>
    <w:rsid w:val="0054376C"/>
    <w:rsid w:val="00557DB6"/>
    <w:rsid w:val="00561D91"/>
    <w:rsid w:val="005625A1"/>
    <w:rsid w:val="00590662"/>
    <w:rsid w:val="005A23EB"/>
    <w:rsid w:val="005A379C"/>
    <w:rsid w:val="005A750C"/>
    <w:rsid w:val="005B0C2A"/>
    <w:rsid w:val="005B7510"/>
    <w:rsid w:val="005C6820"/>
    <w:rsid w:val="005D2748"/>
    <w:rsid w:val="005D3D52"/>
    <w:rsid w:val="005D7BD5"/>
    <w:rsid w:val="005E3AC2"/>
    <w:rsid w:val="005E7021"/>
    <w:rsid w:val="005F2BCA"/>
    <w:rsid w:val="006115CE"/>
    <w:rsid w:val="006266A6"/>
    <w:rsid w:val="006500DF"/>
    <w:rsid w:val="00655CE1"/>
    <w:rsid w:val="00655FC1"/>
    <w:rsid w:val="00674220"/>
    <w:rsid w:val="00675927"/>
    <w:rsid w:val="006915FE"/>
    <w:rsid w:val="006C4007"/>
    <w:rsid w:val="006D46A7"/>
    <w:rsid w:val="006E4423"/>
    <w:rsid w:val="007009FC"/>
    <w:rsid w:val="007022E9"/>
    <w:rsid w:val="00713E89"/>
    <w:rsid w:val="0072314F"/>
    <w:rsid w:val="00742295"/>
    <w:rsid w:val="0075782C"/>
    <w:rsid w:val="00760D69"/>
    <w:rsid w:val="00761004"/>
    <w:rsid w:val="00762EFC"/>
    <w:rsid w:val="0077261D"/>
    <w:rsid w:val="00781171"/>
    <w:rsid w:val="007835E0"/>
    <w:rsid w:val="0078383A"/>
    <w:rsid w:val="00787EE9"/>
    <w:rsid w:val="0079157A"/>
    <w:rsid w:val="007942A0"/>
    <w:rsid w:val="007A2DC2"/>
    <w:rsid w:val="007B0008"/>
    <w:rsid w:val="007B443C"/>
    <w:rsid w:val="007B4558"/>
    <w:rsid w:val="007B4E49"/>
    <w:rsid w:val="007D0245"/>
    <w:rsid w:val="007D620F"/>
    <w:rsid w:val="007D7671"/>
    <w:rsid w:val="007F6521"/>
    <w:rsid w:val="00801B40"/>
    <w:rsid w:val="008147DF"/>
    <w:rsid w:val="00823D36"/>
    <w:rsid w:val="00825C8A"/>
    <w:rsid w:val="00842795"/>
    <w:rsid w:val="00860953"/>
    <w:rsid w:val="00863D3A"/>
    <w:rsid w:val="00866C97"/>
    <w:rsid w:val="008727A8"/>
    <w:rsid w:val="0087620B"/>
    <w:rsid w:val="00877367"/>
    <w:rsid w:val="00885622"/>
    <w:rsid w:val="00885802"/>
    <w:rsid w:val="00890012"/>
    <w:rsid w:val="008921D4"/>
    <w:rsid w:val="00893F81"/>
    <w:rsid w:val="00895A40"/>
    <w:rsid w:val="008A35DA"/>
    <w:rsid w:val="008A47C8"/>
    <w:rsid w:val="008A4F79"/>
    <w:rsid w:val="008B073C"/>
    <w:rsid w:val="008C0D0B"/>
    <w:rsid w:val="008E663C"/>
    <w:rsid w:val="008F35BF"/>
    <w:rsid w:val="008F3807"/>
    <w:rsid w:val="008F7BE8"/>
    <w:rsid w:val="00902D71"/>
    <w:rsid w:val="009138F9"/>
    <w:rsid w:val="00926A56"/>
    <w:rsid w:val="00955403"/>
    <w:rsid w:val="00965253"/>
    <w:rsid w:val="009664AF"/>
    <w:rsid w:val="00980BD5"/>
    <w:rsid w:val="009829F6"/>
    <w:rsid w:val="009B5FC0"/>
    <w:rsid w:val="009D1E14"/>
    <w:rsid w:val="009D4755"/>
    <w:rsid w:val="009E412D"/>
    <w:rsid w:val="009F0E87"/>
    <w:rsid w:val="009F280A"/>
    <w:rsid w:val="009F4F41"/>
    <w:rsid w:val="00A0516B"/>
    <w:rsid w:val="00A141F0"/>
    <w:rsid w:val="00A16602"/>
    <w:rsid w:val="00A175D1"/>
    <w:rsid w:val="00A245FF"/>
    <w:rsid w:val="00A3341D"/>
    <w:rsid w:val="00A374E2"/>
    <w:rsid w:val="00A45175"/>
    <w:rsid w:val="00A611F5"/>
    <w:rsid w:val="00A731F2"/>
    <w:rsid w:val="00A8613A"/>
    <w:rsid w:val="00A871BD"/>
    <w:rsid w:val="00A9678D"/>
    <w:rsid w:val="00AB6999"/>
    <w:rsid w:val="00AC016C"/>
    <w:rsid w:val="00AC32DE"/>
    <w:rsid w:val="00AD185D"/>
    <w:rsid w:val="00AE1E13"/>
    <w:rsid w:val="00AE4383"/>
    <w:rsid w:val="00AE4F68"/>
    <w:rsid w:val="00B0686B"/>
    <w:rsid w:val="00B06E86"/>
    <w:rsid w:val="00B135B5"/>
    <w:rsid w:val="00B147BE"/>
    <w:rsid w:val="00B30B77"/>
    <w:rsid w:val="00B355BF"/>
    <w:rsid w:val="00B50B06"/>
    <w:rsid w:val="00B65C92"/>
    <w:rsid w:val="00B8368D"/>
    <w:rsid w:val="00B83ABC"/>
    <w:rsid w:val="00BA02F4"/>
    <w:rsid w:val="00BA1FA2"/>
    <w:rsid w:val="00BB7F44"/>
    <w:rsid w:val="00BC22FC"/>
    <w:rsid w:val="00BC297B"/>
    <w:rsid w:val="00BC4C4B"/>
    <w:rsid w:val="00BD1569"/>
    <w:rsid w:val="00BF1F0B"/>
    <w:rsid w:val="00C049CB"/>
    <w:rsid w:val="00C101E7"/>
    <w:rsid w:val="00C1573F"/>
    <w:rsid w:val="00C16682"/>
    <w:rsid w:val="00C17609"/>
    <w:rsid w:val="00C2255A"/>
    <w:rsid w:val="00C27313"/>
    <w:rsid w:val="00C359CB"/>
    <w:rsid w:val="00C51456"/>
    <w:rsid w:val="00C82E51"/>
    <w:rsid w:val="00C860AF"/>
    <w:rsid w:val="00CA71E9"/>
    <w:rsid w:val="00CC196A"/>
    <w:rsid w:val="00CD61FA"/>
    <w:rsid w:val="00CE4DDF"/>
    <w:rsid w:val="00D13682"/>
    <w:rsid w:val="00D255AE"/>
    <w:rsid w:val="00D35238"/>
    <w:rsid w:val="00D35C1A"/>
    <w:rsid w:val="00D42FE2"/>
    <w:rsid w:val="00D51828"/>
    <w:rsid w:val="00D527C4"/>
    <w:rsid w:val="00D56461"/>
    <w:rsid w:val="00D57F46"/>
    <w:rsid w:val="00D62947"/>
    <w:rsid w:val="00D66EDB"/>
    <w:rsid w:val="00D73FB9"/>
    <w:rsid w:val="00D75082"/>
    <w:rsid w:val="00D813EB"/>
    <w:rsid w:val="00D84A8E"/>
    <w:rsid w:val="00D852B2"/>
    <w:rsid w:val="00D9054A"/>
    <w:rsid w:val="00D9071A"/>
    <w:rsid w:val="00D920E8"/>
    <w:rsid w:val="00DA7CF2"/>
    <w:rsid w:val="00DB6884"/>
    <w:rsid w:val="00DD1392"/>
    <w:rsid w:val="00DF4BBF"/>
    <w:rsid w:val="00E163CB"/>
    <w:rsid w:val="00E1743B"/>
    <w:rsid w:val="00E3306E"/>
    <w:rsid w:val="00E343DB"/>
    <w:rsid w:val="00E53BC4"/>
    <w:rsid w:val="00E55C0B"/>
    <w:rsid w:val="00E60FB5"/>
    <w:rsid w:val="00E843F6"/>
    <w:rsid w:val="00E91D5F"/>
    <w:rsid w:val="00E96CD5"/>
    <w:rsid w:val="00EA7A53"/>
    <w:rsid w:val="00EB4CDE"/>
    <w:rsid w:val="00EC22E6"/>
    <w:rsid w:val="00EC5A56"/>
    <w:rsid w:val="00EC6E42"/>
    <w:rsid w:val="00EF0B41"/>
    <w:rsid w:val="00EF7A3B"/>
    <w:rsid w:val="00F0012A"/>
    <w:rsid w:val="00F006CE"/>
    <w:rsid w:val="00F075F4"/>
    <w:rsid w:val="00F114F4"/>
    <w:rsid w:val="00F26262"/>
    <w:rsid w:val="00F5057A"/>
    <w:rsid w:val="00F50F98"/>
    <w:rsid w:val="00F6480A"/>
    <w:rsid w:val="00F67AB7"/>
    <w:rsid w:val="00F83ECE"/>
    <w:rsid w:val="00F84841"/>
    <w:rsid w:val="00F91A31"/>
    <w:rsid w:val="00FB50AD"/>
    <w:rsid w:val="00FB5338"/>
    <w:rsid w:val="00FC11B7"/>
    <w:rsid w:val="00FC58E4"/>
    <w:rsid w:val="00FD2D41"/>
    <w:rsid w:val="00FD2F56"/>
    <w:rsid w:val="00FD4F8E"/>
    <w:rsid w:val="00FE2B20"/>
    <w:rsid w:val="00FF4EAA"/>
    <w:rsid w:val="00FF517E"/>
    <w:rsid w:val="00FF5A03"/>
    <w:rsid w:val="06226DEE"/>
    <w:rsid w:val="0C0F3E47"/>
    <w:rsid w:val="10E2315D"/>
    <w:rsid w:val="1126422F"/>
    <w:rsid w:val="14683945"/>
    <w:rsid w:val="17B953B3"/>
    <w:rsid w:val="18D95BB2"/>
    <w:rsid w:val="1ACD4D19"/>
    <w:rsid w:val="1E8D469E"/>
    <w:rsid w:val="21E04D26"/>
    <w:rsid w:val="26B577B9"/>
    <w:rsid w:val="2BCD7B50"/>
    <w:rsid w:val="3A851B71"/>
    <w:rsid w:val="3CD02790"/>
    <w:rsid w:val="3CF80177"/>
    <w:rsid w:val="448333B0"/>
    <w:rsid w:val="48A36425"/>
    <w:rsid w:val="4A8B65CA"/>
    <w:rsid w:val="4D7339D5"/>
    <w:rsid w:val="51E908D0"/>
    <w:rsid w:val="53AE7C45"/>
    <w:rsid w:val="56A9556B"/>
    <w:rsid w:val="5D3F1910"/>
    <w:rsid w:val="5EB465D5"/>
    <w:rsid w:val="5F220978"/>
    <w:rsid w:val="5F743634"/>
    <w:rsid w:val="65607997"/>
    <w:rsid w:val="69846672"/>
    <w:rsid w:val="71C84FD2"/>
    <w:rsid w:val="73DC33A4"/>
    <w:rsid w:val="7FB843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jc w:val="left"/>
    </w:pPr>
    <w:rPr>
      <w:kern w:val="0"/>
      <w:sz w:val="24"/>
      <w:szCs w:val="24"/>
    </w:rPr>
  </w:style>
  <w:style w:type="character" w:customStyle="1" w:styleId="8">
    <w:name w:val="Balloon Text Char"/>
    <w:basedOn w:val="6"/>
    <w:link w:val="2"/>
    <w:semiHidden/>
    <w:locked/>
    <w:uiPriority w:val="99"/>
    <w:rPr>
      <w:sz w:val="18"/>
      <w:szCs w:val="18"/>
    </w:rPr>
  </w:style>
  <w:style w:type="character" w:customStyle="1" w:styleId="9">
    <w:name w:val="Footer Char"/>
    <w:basedOn w:val="6"/>
    <w:link w:val="3"/>
    <w:locked/>
    <w:uiPriority w:val="99"/>
    <w:rPr>
      <w:sz w:val="18"/>
      <w:szCs w:val="18"/>
    </w:rPr>
  </w:style>
  <w:style w:type="character" w:customStyle="1" w:styleId="10">
    <w:name w:val="Header Char"/>
    <w:basedOn w:val="6"/>
    <w:link w:val="4"/>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24</Pages>
  <Words>1718</Words>
  <Characters>9798</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2019-08-09T02:13:00Z</dcterms:created>
  <dc:creator>周亮辉 10.104.93.85</dc:creator>
  <cp:lastModifiedBy>Administrator</cp:lastModifiedBy>
  <cp:lastPrinted>2020-10-26T02:50:00Z</cp:lastPrinted>
  <dcterms:modified xsi:type="dcterms:W3CDTF">2021-06-05T06:11:12Z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