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2019年度</w:t>
      </w:r>
    </w:p>
    <w:p>
      <w:pPr>
        <w:pStyle w:val="11"/>
        <w:jc w:val="center"/>
        <w:rPr>
          <w:rFonts w:hint="eastAsia"/>
          <w:sz w:val="84"/>
          <w:szCs w:val="84"/>
          <w:lang w:eastAsia="zh-CN"/>
        </w:rPr>
      </w:pPr>
      <w:r>
        <w:rPr>
          <w:rFonts w:hint="eastAsia"/>
          <w:sz w:val="84"/>
          <w:szCs w:val="84"/>
          <w:lang w:eastAsia="zh-CN"/>
        </w:rPr>
        <w:t>退役军人事务局</w:t>
      </w:r>
    </w:p>
    <w:p>
      <w:pPr>
        <w:pStyle w:val="11"/>
        <w:jc w:val="center"/>
        <w:rPr>
          <w:sz w:val="84"/>
          <w:szCs w:val="84"/>
        </w:rPr>
      </w:pPr>
      <w:r>
        <w:rPr>
          <w:rFonts w:hint="eastAsia"/>
          <w:sz w:val="84"/>
          <w:szCs w:val="84"/>
        </w:rPr>
        <w:t>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spacing w:line="520" w:lineRule="exact"/>
        <w:jc w:val="center"/>
        <w:rPr>
          <w:sz w:val="56"/>
          <w:szCs w:val="56"/>
        </w:rPr>
      </w:pPr>
      <w:r>
        <w:rPr>
          <w:rFonts w:hint="eastAsia"/>
          <w:sz w:val="56"/>
          <w:szCs w:val="56"/>
        </w:rPr>
        <w:t>目录</w:t>
      </w:r>
    </w:p>
    <w:p>
      <w:pPr>
        <w:pStyle w:val="11"/>
        <w:spacing w:line="52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w:t>
      </w:r>
      <w:r>
        <w:rPr>
          <w:rFonts w:hint="eastAsia"/>
          <w:b/>
          <w:sz w:val="28"/>
          <w:szCs w:val="28"/>
        </w:rPr>
        <w:t>单位概况</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20" w:lineRule="exact"/>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2019</w:t>
      </w:r>
      <w:r>
        <w:rPr>
          <w:rFonts w:hint="eastAsia" w:hAnsi="仿宋_GB2312"/>
          <w:b/>
          <w:sz w:val="28"/>
          <w:szCs w:val="28"/>
        </w:rPr>
        <w:t>年度部门决算表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20" w:lineRule="exact"/>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2019</w:t>
      </w:r>
      <w:r>
        <w:rPr>
          <w:rFonts w:hint="eastAsia" w:hAnsi="仿宋_GB2312"/>
          <w:b/>
          <w:sz w:val="28"/>
          <w:szCs w:val="28"/>
        </w:rPr>
        <w:t>年度部门决算情况说明</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pPr>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5"/>
        <w:keepNext w:val="0"/>
        <w:keepLines w:val="0"/>
        <w:widowControl/>
        <w:suppressLineNumbers w:val="0"/>
        <w:spacing w:before="0" w:beforeAutospacing="0" w:after="0" w:afterAutospacing="0"/>
        <w:ind w:left="0" w:right="0" w:firstLine="640"/>
        <w:jc w:val="both"/>
        <w:rPr>
          <w:rFonts w:hint="eastAsia" w:ascii="宋体" w:hAnsi="宋体" w:eastAsia="宋体" w:cs="宋体"/>
          <w:sz w:val="30"/>
          <w:szCs w:val="30"/>
        </w:rPr>
      </w:pPr>
      <w:r>
        <w:rPr>
          <w:rFonts w:hint="eastAsia" w:ascii="宋体" w:hAnsi="宋体" w:eastAsia="宋体" w:cs="宋体"/>
          <w:sz w:val="30"/>
          <w:szCs w:val="30"/>
          <w:lang w:val="en-US" w:eastAsia="zh-CN"/>
        </w:rPr>
        <w:t>1、</w:t>
      </w:r>
      <w:r>
        <w:rPr>
          <w:rFonts w:hint="eastAsia" w:ascii="宋体" w:hAnsi="宋体" w:eastAsia="宋体" w:cs="宋体"/>
          <w:sz w:val="30"/>
          <w:szCs w:val="30"/>
        </w:rPr>
        <w:t>贯彻执行党和国家、省委省政府、市委市政府关于退役军人思想政治、管理保障和安置优抚等工作政策法规，拟订全县退役军人事务发展规划和政策，并组织实施；褒扬彰显退役军人为党、国家和人民牺牲奉献的精神风范和价值导向。</w:t>
      </w:r>
    </w:p>
    <w:p>
      <w:pPr>
        <w:pStyle w:val="5"/>
        <w:keepNext w:val="0"/>
        <w:keepLines w:val="0"/>
        <w:widowControl/>
        <w:suppressLineNumbers w:val="0"/>
        <w:spacing w:before="0" w:beforeAutospacing="0" w:after="0" w:afterAutospacing="0"/>
        <w:ind w:left="0" w:right="0" w:firstLine="640"/>
        <w:jc w:val="both"/>
        <w:rPr>
          <w:rFonts w:hint="eastAsia" w:ascii="宋体" w:hAnsi="宋体" w:eastAsia="宋体" w:cs="宋体"/>
          <w:sz w:val="30"/>
          <w:szCs w:val="30"/>
        </w:rPr>
      </w:pPr>
      <w:r>
        <w:rPr>
          <w:rFonts w:hint="eastAsia" w:ascii="宋体" w:hAnsi="宋体" w:eastAsia="宋体" w:cs="宋体"/>
          <w:sz w:val="30"/>
          <w:szCs w:val="30"/>
          <w:lang w:val="en-US" w:eastAsia="zh-CN"/>
        </w:rPr>
        <w:t>2、</w:t>
      </w:r>
      <w:r>
        <w:rPr>
          <w:rFonts w:hint="eastAsia" w:ascii="宋体" w:hAnsi="宋体" w:eastAsia="宋体" w:cs="宋体"/>
          <w:sz w:val="30"/>
          <w:szCs w:val="30"/>
        </w:rPr>
        <w:t>负责全县军队转业干部、复员干部、离休退休干部、退役士兵和无军籍退休退职职工的移交安置工作和自主择业、就业退役军人服务管理工作。</w:t>
      </w:r>
    </w:p>
    <w:p>
      <w:pPr>
        <w:pStyle w:val="5"/>
        <w:keepNext w:val="0"/>
        <w:keepLines w:val="0"/>
        <w:widowControl/>
        <w:suppressLineNumbers w:val="0"/>
        <w:spacing w:before="0" w:beforeAutospacing="0" w:after="0" w:afterAutospacing="0"/>
        <w:ind w:left="0" w:right="0" w:firstLine="640"/>
        <w:jc w:val="both"/>
        <w:rPr>
          <w:rFonts w:hint="eastAsia" w:ascii="宋体" w:hAnsi="宋体" w:eastAsia="宋体" w:cs="宋体"/>
          <w:sz w:val="30"/>
          <w:szCs w:val="30"/>
        </w:rPr>
      </w:pPr>
      <w:r>
        <w:rPr>
          <w:rFonts w:hint="eastAsia" w:ascii="宋体" w:hAnsi="宋体" w:eastAsia="宋体" w:cs="宋体"/>
          <w:sz w:val="30"/>
          <w:szCs w:val="30"/>
          <w:lang w:val="en-US" w:eastAsia="zh-CN"/>
        </w:rPr>
        <w:t>3、</w:t>
      </w:r>
      <w:r>
        <w:rPr>
          <w:rFonts w:hint="eastAsia" w:ascii="宋体" w:hAnsi="宋体" w:eastAsia="宋体" w:cs="宋体"/>
          <w:sz w:val="30"/>
          <w:szCs w:val="30"/>
        </w:rPr>
        <w:t>组织指导全县退役军人教育培训工作，协调扶持退役军人和随军随调家属就业创业。</w:t>
      </w:r>
    </w:p>
    <w:p>
      <w:pPr>
        <w:pStyle w:val="5"/>
        <w:keepNext w:val="0"/>
        <w:keepLines w:val="0"/>
        <w:widowControl/>
        <w:suppressLineNumbers w:val="0"/>
        <w:spacing w:before="0" w:beforeAutospacing="0" w:after="0" w:afterAutospacing="0"/>
        <w:ind w:left="0" w:right="0" w:firstLine="640"/>
        <w:jc w:val="both"/>
        <w:rPr>
          <w:rFonts w:hint="eastAsia" w:ascii="宋体" w:hAnsi="宋体" w:eastAsia="宋体" w:cs="宋体"/>
          <w:sz w:val="30"/>
          <w:szCs w:val="30"/>
        </w:rPr>
      </w:pPr>
      <w:r>
        <w:rPr>
          <w:rFonts w:hint="eastAsia" w:ascii="宋体" w:hAnsi="宋体" w:eastAsia="宋体" w:cs="宋体"/>
          <w:sz w:val="30"/>
          <w:szCs w:val="30"/>
          <w:lang w:val="en-US" w:eastAsia="zh-CN"/>
        </w:rPr>
        <w:t>4、</w:t>
      </w:r>
      <w:r>
        <w:rPr>
          <w:rFonts w:hint="eastAsia" w:ascii="宋体" w:hAnsi="宋体" w:eastAsia="宋体" w:cs="宋体"/>
          <w:sz w:val="30"/>
          <w:szCs w:val="30"/>
        </w:rPr>
        <w:t>贯彻落实国家、省、市关于退役军人的特殊保障政策，会同有关部门制定相关政策，并组织实施。</w:t>
      </w:r>
    </w:p>
    <w:p>
      <w:pPr>
        <w:pStyle w:val="5"/>
        <w:keepNext w:val="0"/>
        <w:keepLines w:val="0"/>
        <w:widowControl/>
        <w:suppressLineNumbers w:val="0"/>
        <w:spacing w:before="0" w:beforeAutospacing="0" w:after="0" w:afterAutospacing="0"/>
        <w:ind w:left="0" w:right="0" w:firstLine="640"/>
        <w:jc w:val="both"/>
        <w:rPr>
          <w:rFonts w:hint="eastAsia" w:ascii="宋体" w:hAnsi="宋体" w:eastAsia="宋体" w:cs="宋体"/>
          <w:sz w:val="30"/>
          <w:szCs w:val="30"/>
        </w:rPr>
      </w:pPr>
      <w:r>
        <w:rPr>
          <w:rFonts w:hint="eastAsia" w:ascii="宋体" w:hAnsi="宋体" w:eastAsia="宋体" w:cs="宋体"/>
          <w:sz w:val="30"/>
          <w:szCs w:val="30"/>
          <w:lang w:val="en-US" w:eastAsia="zh-CN"/>
        </w:rPr>
        <w:t>5、</w:t>
      </w:r>
      <w:r>
        <w:rPr>
          <w:rFonts w:hint="eastAsia" w:ascii="宋体" w:hAnsi="宋体" w:eastAsia="宋体" w:cs="宋体"/>
          <w:sz w:val="30"/>
          <w:szCs w:val="30"/>
        </w:rPr>
        <w:t>组织协调落实全县移交地方的离休退休军人、符合条件的其他退役军人和无军籍退休退职职工的住房保障工作，以及退役军人医疗保障、社会保险等待遇保障工作。</w:t>
      </w:r>
    </w:p>
    <w:p>
      <w:pPr>
        <w:pStyle w:val="5"/>
        <w:keepNext w:val="0"/>
        <w:keepLines w:val="0"/>
        <w:widowControl/>
        <w:suppressLineNumbers w:val="0"/>
        <w:spacing w:before="0" w:beforeAutospacing="0" w:after="0" w:afterAutospacing="0"/>
        <w:ind w:left="0" w:right="0" w:firstLine="640"/>
        <w:jc w:val="both"/>
        <w:rPr>
          <w:rFonts w:hint="eastAsia" w:ascii="宋体" w:hAnsi="宋体" w:eastAsia="宋体" w:cs="宋体"/>
          <w:sz w:val="30"/>
          <w:szCs w:val="30"/>
        </w:rPr>
      </w:pPr>
      <w:r>
        <w:rPr>
          <w:rFonts w:hint="eastAsia" w:ascii="宋体" w:hAnsi="宋体" w:eastAsia="宋体" w:cs="宋体"/>
          <w:sz w:val="30"/>
          <w:szCs w:val="30"/>
          <w:lang w:val="en-US" w:eastAsia="zh-CN"/>
        </w:rPr>
        <w:t>6、</w:t>
      </w:r>
      <w:r>
        <w:rPr>
          <w:rFonts w:hint="eastAsia" w:ascii="宋体" w:hAnsi="宋体" w:eastAsia="宋体" w:cs="宋体"/>
          <w:sz w:val="30"/>
          <w:szCs w:val="30"/>
        </w:rPr>
        <w:t>组织指导全县伤病残退役军人服务管理和抚恤工作，贯彻落实有关退役军人医疗、疗养、养老等机构的规划政策并指导实施。承担全县不适宜继续服役的伤病残军人相关工作。组织指导全县军供服务保障工作。</w:t>
      </w:r>
    </w:p>
    <w:p>
      <w:pPr>
        <w:pStyle w:val="5"/>
        <w:keepNext w:val="0"/>
        <w:keepLines w:val="0"/>
        <w:widowControl/>
        <w:suppressLineNumbers w:val="0"/>
        <w:spacing w:before="0" w:beforeAutospacing="0" w:after="0" w:afterAutospacing="0"/>
        <w:ind w:left="0" w:right="0" w:firstLine="640"/>
        <w:jc w:val="both"/>
        <w:rPr>
          <w:rFonts w:hint="eastAsia" w:ascii="宋体" w:hAnsi="宋体" w:eastAsia="宋体" w:cs="宋体"/>
          <w:sz w:val="30"/>
          <w:szCs w:val="30"/>
        </w:rPr>
      </w:pPr>
      <w:r>
        <w:rPr>
          <w:rFonts w:hint="eastAsia" w:ascii="宋体" w:hAnsi="宋体" w:eastAsia="宋体" w:cs="宋体"/>
          <w:sz w:val="30"/>
          <w:szCs w:val="30"/>
          <w:lang w:val="en-US" w:eastAsia="zh-CN"/>
        </w:rPr>
        <w:t>7、</w:t>
      </w:r>
      <w:r>
        <w:rPr>
          <w:rFonts w:hint="eastAsia" w:ascii="宋体" w:hAnsi="宋体" w:eastAsia="宋体" w:cs="宋体"/>
          <w:sz w:val="30"/>
          <w:szCs w:val="30"/>
        </w:rPr>
        <w:t>组织指导全县拥军优属工作。负责全县现役军人、退役军人、军队文职人员和军属优待、抚恤等工作；贯彻执行国家关于国民党抗战老兵等有关人员优待政策并指导实施。</w:t>
      </w:r>
    </w:p>
    <w:p>
      <w:pPr>
        <w:pStyle w:val="5"/>
        <w:keepNext w:val="0"/>
        <w:keepLines w:val="0"/>
        <w:widowControl/>
        <w:suppressLineNumbers w:val="0"/>
        <w:spacing w:before="0" w:beforeAutospacing="0" w:after="0" w:afterAutospacing="0"/>
        <w:ind w:left="0" w:right="0" w:firstLine="640"/>
        <w:jc w:val="both"/>
        <w:rPr>
          <w:rFonts w:hint="eastAsia" w:ascii="宋体" w:hAnsi="宋体" w:eastAsia="宋体" w:cs="宋体"/>
          <w:sz w:val="30"/>
          <w:szCs w:val="30"/>
        </w:rPr>
      </w:pPr>
      <w:r>
        <w:rPr>
          <w:rFonts w:hint="eastAsia" w:ascii="宋体" w:hAnsi="宋体" w:eastAsia="宋体" w:cs="宋体"/>
          <w:sz w:val="30"/>
          <w:szCs w:val="30"/>
          <w:lang w:val="en-US" w:eastAsia="zh-CN"/>
        </w:rPr>
        <w:t>8、</w:t>
      </w:r>
      <w:r>
        <w:rPr>
          <w:rFonts w:hint="eastAsia" w:ascii="宋体" w:hAnsi="宋体" w:eastAsia="宋体" w:cs="宋体"/>
          <w:sz w:val="30"/>
          <w:szCs w:val="30"/>
        </w:rPr>
        <w:t>负责全县烈士及退役军人荣誉奖励、军人公墓管理维护、纪念活动等工作，依法承担英雄烈士保护相关工作，审核拟列入县级保护单位的烈士纪念建筑物名录，总结表彰和宣扬退役军人、退役军人工作单位和个人先进典型事迹。</w:t>
      </w:r>
    </w:p>
    <w:p>
      <w:pPr>
        <w:pStyle w:val="5"/>
        <w:keepNext w:val="0"/>
        <w:keepLines w:val="0"/>
        <w:widowControl/>
        <w:suppressLineNumbers w:val="0"/>
        <w:spacing w:before="0" w:beforeAutospacing="0" w:after="0" w:afterAutospacing="0"/>
        <w:ind w:left="0" w:right="0" w:firstLine="640"/>
        <w:jc w:val="both"/>
        <w:rPr>
          <w:rFonts w:hint="eastAsia" w:ascii="宋体" w:hAnsi="宋体" w:eastAsia="宋体" w:cs="宋体"/>
          <w:sz w:val="30"/>
          <w:szCs w:val="30"/>
        </w:rPr>
      </w:pPr>
      <w:r>
        <w:rPr>
          <w:rFonts w:hint="eastAsia" w:ascii="宋体" w:hAnsi="宋体" w:eastAsia="宋体" w:cs="宋体"/>
          <w:sz w:val="30"/>
          <w:szCs w:val="30"/>
          <w:lang w:val="en-US" w:eastAsia="zh-CN"/>
        </w:rPr>
        <w:t>9、</w:t>
      </w:r>
      <w:r>
        <w:rPr>
          <w:rFonts w:hint="eastAsia" w:ascii="宋体" w:hAnsi="宋体" w:eastAsia="宋体" w:cs="宋体"/>
          <w:sz w:val="30"/>
          <w:szCs w:val="30"/>
        </w:rPr>
        <w:t>指导并监督检查关于退役军人相关法律法规和政策措施的落实；开展全县退役军人权益维护和有关人员的帮扶援助工作。</w:t>
      </w:r>
    </w:p>
    <w:p>
      <w:pPr>
        <w:pStyle w:val="5"/>
        <w:keepNext w:val="0"/>
        <w:keepLines w:val="0"/>
        <w:widowControl/>
        <w:suppressLineNumbers w:val="0"/>
        <w:spacing w:before="0" w:beforeAutospacing="0" w:after="0" w:afterAutospacing="0"/>
        <w:ind w:left="0" w:right="0" w:firstLine="640"/>
        <w:jc w:val="both"/>
        <w:rPr>
          <w:rFonts w:hint="eastAsia" w:ascii="宋体" w:hAnsi="宋体" w:eastAsia="宋体" w:cs="宋体"/>
          <w:sz w:val="30"/>
          <w:szCs w:val="30"/>
        </w:rPr>
      </w:pPr>
      <w:r>
        <w:rPr>
          <w:rFonts w:hint="eastAsia" w:ascii="宋体" w:hAnsi="宋体" w:eastAsia="宋体" w:cs="宋体"/>
          <w:sz w:val="30"/>
          <w:szCs w:val="30"/>
          <w:lang w:val="en-US" w:eastAsia="zh-CN"/>
        </w:rPr>
        <w:t>10、</w:t>
      </w:r>
      <w:r>
        <w:rPr>
          <w:rFonts w:hint="eastAsia" w:ascii="宋体" w:hAnsi="宋体" w:eastAsia="宋体" w:cs="宋体"/>
          <w:sz w:val="30"/>
          <w:szCs w:val="30"/>
        </w:rPr>
        <w:t>负责本行业、领域安全生产监督管理工作；</w:t>
      </w:r>
    </w:p>
    <w:p>
      <w:pPr>
        <w:pStyle w:val="5"/>
        <w:keepNext w:val="0"/>
        <w:keepLines w:val="0"/>
        <w:widowControl/>
        <w:suppressLineNumbers w:val="0"/>
        <w:spacing w:before="0" w:beforeAutospacing="0" w:after="0" w:afterAutospacing="0"/>
        <w:ind w:left="0" w:right="0" w:firstLine="640"/>
        <w:jc w:val="both"/>
        <w:rPr>
          <w:rFonts w:hint="eastAsia" w:ascii="宋体" w:hAnsi="宋体" w:eastAsia="宋体" w:cs="宋体"/>
          <w:sz w:val="30"/>
          <w:szCs w:val="30"/>
        </w:rPr>
      </w:pPr>
      <w:r>
        <w:rPr>
          <w:rFonts w:hint="eastAsia" w:ascii="宋体" w:hAnsi="宋体" w:eastAsia="宋体" w:cs="宋体"/>
          <w:sz w:val="30"/>
          <w:szCs w:val="30"/>
          <w:lang w:val="en-US" w:eastAsia="zh-CN"/>
        </w:rPr>
        <w:t>11、</w:t>
      </w:r>
      <w:r>
        <w:rPr>
          <w:rFonts w:hint="eastAsia" w:ascii="宋体" w:hAnsi="宋体" w:eastAsia="宋体" w:cs="宋体"/>
          <w:sz w:val="30"/>
          <w:szCs w:val="30"/>
        </w:rPr>
        <w:t>完成县委、县政府交办的其他任务。</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eastAsia" w:ascii="宋体" w:hAnsi="宋体" w:eastAsia="宋体" w:cs="宋体"/>
          <w:sz w:val="30"/>
          <w:szCs w:val="30"/>
        </w:rPr>
      </w:pPr>
      <w:r>
        <w:rPr>
          <w:rFonts w:hint="eastAsia" w:asciiTheme="minorEastAsia" w:hAnsiTheme="minorEastAsia"/>
          <w:bCs/>
          <w:kern w:val="0"/>
          <w:sz w:val="32"/>
          <w:szCs w:val="32"/>
        </w:rPr>
        <w:t>（一）内设机构设置。</w:t>
      </w:r>
      <w:r>
        <w:rPr>
          <w:rFonts w:hint="eastAsia" w:ascii="宋体" w:hAnsi="宋体" w:eastAsia="宋体" w:cs="宋体"/>
          <w:sz w:val="30"/>
          <w:szCs w:val="30"/>
          <w:lang w:val="en-US" w:eastAsia="zh-CN"/>
        </w:rPr>
        <w:t>洞口县退役军人事务</w:t>
      </w:r>
      <w:r>
        <w:rPr>
          <w:rFonts w:hint="eastAsia" w:ascii="宋体" w:hAnsi="宋体" w:eastAsia="宋体" w:cs="宋体"/>
          <w:sz w:val="30"/>
          <w:szCs w:val="30"/>
        </w:rPr>
        <w:t>局机关下设办公室、拥军优抚股、移交安置股、思想政治和权益维护股、规划财务股、就业创业股</w:t>
      </w:r>
      <w:r>
        <w:rPr>
          <w:rFonts w:hint="eastAsia" w:ascii="宋体" w:hAnsi="宋体" w:eastAsia="宋体" w:cs="宋体"/>
          <w:sz w:val="30"/>
          <w:szCs w:val="30"/>
          <w:lang w:val="en-US" w:eastAsia="zh-CN"/>
        </w:rPr>
        <w:t>等6</w:t>
      </w:r>
      <w:r>
        <w:rPr>
          <w:rFonts w:hint="eastAsia" w:ascii="宋体" w:hAnsi="宋体" w:eastAsia="宋体" w:cs="宋体"/>
          <w:sz w:val="30"/>
          <w:szCs w:val="30"/>
        </w:rPr>
        <w:t>个股室，下设</w:t>
      </w:r>
      <w:r>
        <w:rPr>
          <w:rFonts w:hint="eastAsia" w:ascii="宋体" w:hAnsi="宋体" w:eastAsia="宋体" w:cs="宋体"/>
          <w:sz w:val="30"/>
          <w:szCs w:val="30"/>
          <w:lang w:val="en-US" w:eastAsia="zh-CN"/>
        </w:rPr>
        <w:t>3</w:t>
      </w:r>
      <w:r>
        <w:rPr>
          <w:rFonts w:hint="eastAsia" w:ascii="宋体" w:hAnsi="宋体" w:eastAsia="宋体" w:cs="宋体"/>
          <w:sz w:val="30"/>
          <w:szCs w:val="30"/>
        </w:rPr>
        <w:t>个</w:t>
      </w:r>
      <w:r>
        <w:rPr>
          <w:rFonts w:hint="eastAsia" w:ascii="宋体" w:hAnsi="宋体" w:eastAsia="宋体" w:cs="宋体"/>
          <w:sz w:val="30"/>
          <w:szCs w:val="30"/>
          <w:lang w:val="en-US" w:eastAsia="zh-CN"/>
        </w:rPr>
        <w:t>事业</w:t>
      </w:r>
      <w:r>
        <w:rPr>
          <w:rFonts w:hint="eastAsia" w:ascii="宋体" w:hAnsi="宋体" w:eastAsia="宋体" w:cs="宋体"/>
          <w:sz w:val="30"/>
          <w:szCs w:val="30"/>
        </w:rPr>
        <w:t>单位，分别是退役军人服务中心</w:t>
      </w:r>
      <w:r>
        <w:rPr>
          <w:rFonts w:hint="eastAsia" w:ascii="宋体" w:hAnsi="宋体" w:eastAsia="宋体" w:cs="宋体"/>
          <w:sz w:val="30"/>
          <w:szCs w:val="30"/>
          <w:lang w:eastAsia="zh-CN"/>
        </w:rPr>
        <w:t>、</w:t>
      </w:r>
      <w:r>
        <w:rPr>
          <w:rFonts w:hint="eastAsia" w:ascii="宋体" w:hAnsi="宋体" w:eastAsia="宋体" w:cs="宋体"/>
          <w:sz w:val="30"/>
          <w:szCs w:val="30"/>
        </w:rPr>
        <w:t>军队离休退休干部休养所和光荣院。</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（二）决算单位构成。</w:t>
      </w:r>
      <w:r>
        <w:rPr>
          <w:rFonts w:hint="eastAsia" w:ascii="宋体" w:hAnsi="宋体" w:eastAsia="宋体" w:cs="宋体"/>
          <w:sz w:val="30"/>
          <w:szCs w:val="30"/>
          <w:lang w:val="en-US" w:eastAsia="zh-CN"/>
        </w:rPr>
        <w:t>洞口县退役军人事务局</w:t>
      </w:r>
      <w:r>
        <w:rPr>
          <w:rFonts w:hint="eastAsia" w:ascii="宋体" w:hAnsi="宋体" w:eastAsia="宋体" w:cs="宋体"/>
          <w:sz w:val="30"/>
          <w:szCs w:val="30"/>
        </w:rPr>
        <w:t>部门只有本级，没有其他二级</w:t>
      </w:r>
      <w:r>
        <w:rPr>
          <w:rFonts w:hint="eastAsia" w:ascii="宋体" w:hAnsi="宋体" w:eastAsia="宋体" w:cs="宋体"/>
          <w:sz w:val="30"/>
          <w:szCs w:val="30"/>
          <w:lang w:eastAsia="zh-CN"/>
        </w:rPr>
        <w:t>决</w:t>
      </w:r>
      <w:r>
        <w:rPr>
          <w:rFonts w:hint="eastAsia" w:ascii="宋体" w:hAnsi="宋体" w:eastAsia="宋体" w:cs="宋体"/>
          <w:sz w:val="30"/>
          <w:szCs w:val="30"/>
        </w:rPr>
        <w:t>算单位，因此，纳入</w:t>
      </w:r>
      <w:r>
        <w:rPr>
          <w:rFonts w:hint="eastAsia" w:ascii="宋体" w:hAnsi="宋体" w:eastAsia="宋体" w:cs="宋体"/>
          <w:sz w:val="30"/>
          <w:szCs w:val="30"/>
          <w:lang w:val="en-US" w:eastAsia="zh-CN"/>
        </w:rPr>
        <w:t>2019</w:t>
      </w:r>
      <w:r>
        <w:rPr>
          <w:rFonts w:hint="eastAsia" w:ascii="宋体" w:hAnsi="宋体" w:eastAsia="宋体" w:cs="宋体"/>
          <w:sz w:val="30"/>
          <w:szCs w:val="30"/>
        </w:rPr>
        <w:t>年部门</w:t>
      </w:r>
      <w:r>
        <w:rPr>
          <w:rFonts w:hint="eastAsia" w:ascii="宋体" w:hAnsi="宋体" w:eastAsia="宋体" w:cs="宋体"/>
          <w:sz w:val="30"/>
          <w:szCs w:val="30"/>
          <w:lang w:eastAsia="zh-CN"/>
        </w:rPr>
        <w:t>决</w:t>
      </w:r>
      <w:r>
        <w:rPr>
          <w:rFonts w:hint="eastAsia" w:ascii="宋体" w:hAnsi="宋体" w:eastAsia="宋体" w:cs="宋体"/>
          <w:sz w:val="30"/>
          <w:szCs w:val="30"/>
        </w:rPr>
        <w:t>算编制范围的只有</w:t>
      </w:r>
      <w:r>
        <w:rPr>
          <w:rFonts w:hint="eastAsia" w:ascii="宋体" w:hAnsi="宋体" w:eastAsia="宋体" w:cs="宋体"/>
          <w:sz w:val="30"/>
          <w:szCs w:val="30"/>
          <w:lang w:val="en-US" w:eastAsia="zh-CN"/>
        </w:rPr>
        <w:t>洞口县退役军人事务局</w:t>
      </w:r>
      <w:r>
        <w:rPr>
          <w:rFonts w:hint="eastAsia" w:ascii="宋体" w:hAnsi="宋体" w:eastAsia="宋体" w:cs="宋体"/>
          <w:sz w:val="30"/>
          <w:szCs w:val="30"/>
        </w:rPr>
        <w:t>部门本级。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1440" w:right="1800" w:bottom="1440" w:left="1800" w:header="851" w:footer="992" w:gutter="0"/>
          <w:cols w:space="425" w:num="1"/>
          <w:docGrid w:type="lines" w:linePitch="312" w:charSpace="0"/>
        </w:sectPr>
      </w:pPr>
    </w:p>
    <w:p>
      <w:pPr>
        <w:jc w:val="center"/>
        <w:rPr>
          <w:rFonts w:ascii="黑体" w:hAnsi="黑体" w:eastAsia="黑体"/>
          <w:sz w:val="36"/>
          <w:szCs w:val="32"/>
        </w:rPr>
      </w:pPr>
      <w:r>
        <w:rPr>
          <w:rFonts w:hint="eastAsia" w:ascii="黑体" w:hAnsi="黑体" w:eastAsia="黑体"/>
          <w:sz w:val="36"/>
          <w:szCs w:val="32"/>
        </w:rPr>
        <w:t>收入支出决算总表</w:t>
      </w:r>
    </w:p>
    <w:p>
      <w:pPr>
        <w:widowControl/>
        <w:spacing w:line="320" w:lineRule="exact"/>
        <w:ind w:right="198"/>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洞口县退役军人事务局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w:t>
      </w:r>
      <w:r>
        <w:rPr>
          <w:rFonts w:ascii="Times New Roman" w:hAnsi="Times New Roman" w:eastAsia="仿宋_GB2312" w:cs="Times New Roman"/>
          <w:color w:val="000000"/>
          <w:kern w:val="0"/>
          <w:szCs w:val="21"/>
        </w:rPr>
        <w:t>01</w:t>
      </w:r>
      <w:r>
        <w:rPr>
          <w:rFonts w:hint="eastAsia" w:ascii="Times New Roman" w:hAnsi="Times New Roman" w:eastAsia="仿宋_GB2312" w:cs="Times New Roman"/>
          <w:color w:val="000000"/>
          <w:kern w:val="0"/>
          <w:szCs w:val="21"/>
        </w:rPr>
        <w:t>表</w:t>
      </w:r>
    </w:p>
    <w:p>
      <w:pPr>
        <w:widowControl/>
        <w:spacing w:line="320" w:lineRule="exact"/>
        <w:ind w:right="198"/>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单位：万元</w:t>
      </w:r>
    </w:p>
    <w:tbl>
      <w:tblPr>
        <w:tblStyle w:val="8"/>
        <w:tblW w:w="14061" w:type="dxa"/>
        <w:jc w:val="center"/>
        <w:tblInd w:w="0" w:type="dxa"/>
        <w:tblLayout w:type="fixed"/>
        <w:tblCellMar>
          <w:top w:w="0" w:type="dxa"/>
          <w:left w:w="108" w:type="dxa"/>
          <w:bottom w:w="0" w:type="dxa"/>
          <w:right w:w="108" w:type="dxa"/>
        </w:tblCellMar>
      </w:tblPr>
      <w:tblGrid>
        <w:gridCol w:w="4932"/>
        <w:gridCol w:w="702"/>
        <w:gridCol w:w="1224"/>
        <w:gridCol w:w="4820"/>
        <w:gridCol w:w="702"/>
        <w:gridCol w:w="1681"/>
      </w:tblGrid>
      <w:tr>
        <w:tblPrEx>
          <w:tblLayout w:type="fixed"/>
          <w:tblCellMar>
            <w:top w:w="0" w:type="dxa"/>
            <w:left w:w="108" w:type="dxa"/>
            <w:bottom w:w="0" w:type="dxa"/>
            <w:right w:w="108" w:type="dxa"/>
          </w:tblCellMar>
        </w:tblPrEx>
        <w:trPr>
          <w:trHeight w:val="340" w:hRule="atLeast"/>
          <w:jc w:val="center"/>
        </w:trPr>
        <w:tc>
          <w:tcPr>
            <w:tcW w:w="685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收入</w:t>
            </w:r>
          </w:p>
        </w:tc>
        <w:tc>
          <w:tcPr>
            <w:tcW w:w="7203"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支出</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22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c>
          <w:tcPr>
            <w:tcW w:w="48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68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vAlign w:val="center"/>
          </w:tcPr>
          <w:p>
            <w:pP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22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48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68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一、一般公共预算财政拨款收入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728.48</w:t>
            </w: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一、一般公共服务支出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140.70</w:t>
            </w:r>
            <w:r>
              <w:rPr>
                <w:rFonts w:hint="eastAsia"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二、政府性基金预算财政拨款收入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二、外交支出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三、上级补助收入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三、国防支出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四、事业收入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四、公共安全支出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五、经营收入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五、教育支出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六、附属单位上缴收入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六、科学技术支出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七、其他收入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七、文化旅游体育与传媒支出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八、社会保障和就业支出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587.78　</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本年收入合计</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b/>
                <w:bCs/>
                <w:kern w:val="0"/>
                <w:szCs w:val="21"/>
                <w:lang w:val="en-US" w:eastAsia="zh-CN"/>
              </w:rPr>
              <w:t>728.48</w:t>
            </w: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本年支出合计</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22</w:t>
            </w:r>
          </w:p>
        </w:tc>
        <w:tc>
          <w:tcPr>
            <w:tcW w:w="1681"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b/>
                <w:bCs/>
                <w:kern w:val="0"/>
                <w:szCs w:val="21"/>
                <w:lang w:val="en-US" w:eastAsia="zh-CN"/>
              </w:rPr>
            </w:pPr>
            <w:r>
              <w:rPr>
                <w:rFonts w:hint="eastAsia" w:ascii="Times New Roman" w:hAnsi="Times New Roman" w:eastAsia="仿宋_GB2312" w:cs="Times New Roman"/>
                <w:b/>
                <w:bCs/>
                <w:kern w:val="0"/>
                <w:szCs w:val="21"/>
              </w:rPr>
              <w:t>　</w:t>
            </w:r>
            <w:r>
              <w:rPr>
                <w:rFonts w:hint="eastAsia" w:ascii="Times New Roman" w:hAnsi="Times New Roman" w:eastAsia="仿宋_GB2312" w:cs="Times New Roman"/>
                <w:b/>
                <w:bCs/>
                <w:kern w:val="0"/>
                <w:szCs w:val="21"/>
                <w:lang w:val="en-US" w:eastAsia="zh-CN"/>
              </w:rPr>
              <w:t>728.48</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用事业基金弥补收支差额</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结余分配</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23</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年初结转和结余</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年末结转和结余</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24</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b/>
                <w:bCs/>
                <w:kern w:val="0"/>
                <w:szCs w:val="21"/>
                <w:lang w:val="en-US" w:eastAsia="zh-CN"/>
              </w:rPr>
              <w:t>728.48</w:t>
            </w: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1681"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b/>
                <w:bCs/>
                <w:kern w:val="0"/>
                <w:szCs w:val="21"/>
                <w:lang w:val="en-US" w:eastAsia="zh-CN"/>
              </w:rPr>
            </w:pPr>
            <w:r>
              <w:rPr>
                <w:rFonts w:hint="eastAsia" w:ascii="Times New Roman" w:hAnsi="Times New Roman" w:eastAsia="仿宋_GB2312" w:cs="Times New Roman"/>
                <w:b/>
                <w:bCs/>
                <w:kern w:val="0"/>
                <w:szCs w:val="21"/>
              </w:rPr>
              <w:t>　</w:t>
            </w:r>
            <w:r>
              <w:rPr>
                <w:rFonts w:hint="eastAsia" w:ascii="Times New Roman" w:hAnsi="Times New Roman" w:eastAsia="仿宋_GB2312" w:cs="Times New Roman"/>
                <w:b/>
                <w:bCs/>
                <w:kern w:val="0"/>
                <w:szCs w:val="21"/>
                <w:lang w:val="en-US" w:eastAsia="zh-CN"/>
              </w:rPr>
              <w:t>728.48</w:t>
            </w:r>
          </w:p>
        </w:tc>
      </w:tr>
    </w:tbl>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注：本表反映部门本年度的总收支和年末结转结余情况。</w:t>
      </w:r>
    </w:p>
    <w:p>
      <w:pPr>
        <w:widowControl/>
        <w:jc w:val="left"/>
        <w:rPr>
          <w:rFonts w:ascii="Times New Roman" w:hAnsi="Times New Roman" w:eastAsia="黑体" w:cs="Times New Roman"/>
          <w:bCs/>
          <w:kern w:val="0"/>
          <w:sz w:val="32"/>
          <w:szCs w:val="32"/>
        </w:rPr>
      </w:pPr>
    </w:p>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p>
      <w:pPr>
        <w:widowControl/>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收入决算表</w:t>
      </w:r>
    </w:p>
    <w:p>
      <w:pPr>
        <w:widowControl/>
        <w:ind w:firstLine="630" w:firstLineChars="3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洞口县退役军人事务局</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公开02表</w:t>
      </w:r>
    </w:p>
    <w:p>
      <w:pPr>
        <w:widowControl/>
        <w:ind w:right="63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4964" w:type="dxa"/>
        <w:jc w:val="center"/>
        <w:tblInd w:w="0" w:type="dxa"/>
        <w:tblLayout w:type="fixed"/>
        <w:tblCellMar>
          <w:top w:w="0" w:type="dxa"/>
          <w:left w:w="108" w:type="dxa"/>
          <w:bottom w:w="0" w:type="dxa"/>
          <w:right w:w="108" w:type="dxa"/>
        </w:tblCellMar>
      </w:tblPr>
      <w:tblGrid>
        <w:gridCol w:w="1048"/>
        <w:gridCol w:w="3968"/>
        <w:gridCol w:w="1467"/>
        <w:gridCol w:w="1396"/>
        <w:gridCol w:w="1417"/>
        <w:gridCol w:w="1417"/>
        <w:gridCol w:w="1417"/>
        <w:gridCol w:w="1417"/>
        <w:gridCol w:w="1417"/>
      </w:tblGrid>
      <w:tr>
        <w:tblPrEx>
          <w:tblLayout w:type="fixed"/>
          <w:tblCellMar>
            <w:top w:w="0" w:type="dxa"/>
            <w:left w:w="108" w:type="dxa"/>
            <w:bottom w:w="0" w:type="dxa"/>
            <w:right w:w="108" w:type="dxa"/>
          </w:tblCellMar>
        </w:tblPrEx>
        <w:trPr>
          <w:trHeight w:val="397" w:hRule="atLeast"/>
          <w:jc w:val="center"/>
        </w:trPr>
        <w:tc>
          <w:tcPr>
            <w:tcW w:w="5016" w:type="dxa"/>
            <w:gridSpan w:val="2"/>
            <w:tcBorders>
              <w:top w:val="single" w:color="auto" w:sz="8" w:space="0"/>
              <w:left w:val="single" w:color="auto" w:sz="8" w:space="0"/>
              <w:bottom w:val="single" w:color="auto" w:sz="4"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    目</w:t>
            </w:r>
          </w:p>
        </w:tc>
        <w:tc>
          <w:tcPr>
            <w:tcW w:w="1467"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本年收入合计</w:t>
            </w:r>
          </w:p>
        </w:tc>
        <w:tc>
          <w:tcPr>
            <w:tcW w:w="1396"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财政拨款收入</w:t>
            </w:r>
          </w:p>
        </w:tc>
        <w:tc>
          <w:tcPr>
            <w:tcW w:w="1417"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上级补助收入</w:t>
            </w:r>
          </w:p>
        </w:tc>
        <w:tc>
          <w:tcPr>
            <w:tcW w:w="1417"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事业收入</w:t>
            </w:r>
          </w:p>
        </w:tc>
        <w:tc>
          <w:tcPr>
            <w:tcW w:w="1417"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经营收入</w:t>
            </w:r>
          </w:p>
        </w:tc>
        <w:tc>
          <w:tcPr>
            <w:tcW w:w="1417"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附属单位上缴收入</w:t>
            </w:r>
          </w:p>
        </w:tc>
        <w:tc>
          <w:tcPr>
            <w:tcW w:w="1417" w:type="dxa"/>
            <w:vMerge w:val="restart"/>
            <w:tcBorders>
              <w:top w:val="single" w:color="auto" w:sz="8" w:space="0"/>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其他收入</w:t>
            </w:r>
          </w:p>
        </w:tc>
      </w:tr>
      <w:tr>
        <w:tblPrEx>
          <w:tblLayout w:type="fixed"/>
          <w:tblCellMar>
            <w:top w:w="0" w:type="dxa"/>
            <w:left w:w="108" w:type="dxa"/>
            <w:bottom w:w="0" w:type="dxa"/>
            <w:right w:w="108" w:type="dxa"/>
          </w:tblCellMar>
        </w:tblPrEx>
        <w:trPr>
          <w:trHeight w:val="397" w:hRule="atLeast"/>
          <w:jc w:val="center"/>
        </w:trPr>
        <w:tc>
          <w:tcPr>
            <w:tcW w:w="1048" w:type="dxa"/>
            <w:vMerge w:val="restart"/>
            <w:tcBorders>
              <w:top w:val="single" w:color="auto" w:sz="4" w:space="0"/>
              <w:left w:val="single" w:color="auto" w:sz="8"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功能分类科目编码</w:t>
            </w:r>
          </w:p>
        </w:tc>
        <w:tc>
          <w:tcPr>
            <w:tcW w:w="3968"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科目名称</w:t>
            </w:r>
          </w:p>
        </w:tc>
        <w:tc>
          <w:tcPr>
            <w:tcW w:w="146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39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1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1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1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1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17"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397" w:hRule="atLeast"/>
          <w:jc w:val="center"/>
        </w:trPr>
        <w:tc>
          <w:tcPr>
            <w:tcW w:w="1048" w:type="dxa"/>
            <w:vMerge w:val="continue"/>
            <w:tcBorders>
              <w:left w:val="single" w:color="auto" w:sz="8" w:space="0"/>
              <w:right w:val="nil"/>
            </w:tcBorders>
            <w:shd w:val="clear" w:color="auto" w:fill="auto"/>
            <w:vAlign w:val="center"/>
          </w:tcPr>
          <w:p>
            <w:pPr>
              <w:widowControl/>
              <w:jc w:val="center"/>
              <w:rPr>
                <w:rFonts w:ascii="Times New Roman" w:hAnsi="Times New Roman" w:eastAsia="仿宋_GB2312" w:cs="Times New Roman"/>
                <w:kern w:val="0"/>
                <w:szCs w:val="21"/>
              </w:rPr>
            </w:pPr>
          </w:p>
        </w:tc>
        <w:tc>
          <w:tcPr>
            <w:tcW w:w="3968" w:type="dxa"/>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4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3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417"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r>
      <w:tr>
        <w:tblPrEx>
          <w:tblLayout w:type="fixed"/>
          <w:tblCellMar>
            <w:top w:w="0" w:type="dxa"/>
            <w:left w:w="108" w:type="dxa"/>
            <w:bottom w:w="0" w:type="dxa"/>
            <w:right w:w="108" w:type="dxa"/>
          </w:tblCellMar>
        </w:tblPrEx>
        <w:trPr>
          <w:trHeight w:val="397" w:hRule="atLeast"/>
          <w:jc w:val="center"/>
        </w:trPr>
        <w:tc>
          <w:tcPr>
            <w:tcW w:w="1048" w:type="dxa"/>
            <w:vMerge w:val="continue"/>
            <w:tcBorders>
              <w:left w:val="single" w:color="auto" w:sz="8" w:space="0"/>
              <w:bottom w:val="single" w:color="auto" w:sz="4" w:space="0"/>
              <w:right w:val="nil"/>
            </w:tcBorders>
            <w:shd w:val="clear" w:color="auto" w:fill="auto"/>
            <w:vAlign w:val="center"/>
          </w:tcPr>
          <w:p>
            <w:pPr>
              <w:widowControl/>
              <w:jc w:val="center"/>
              <w:rPr>
                <w:rFonts w:ascii="Times New Roman" w:hAnsi="Times New Roman" w:eastAsia="仿宋_GB2312" w:cs="Times New Roman"/>
                <w:kern w:val="0"/>
                <w:szCs w:val="21"/>
              </w:rPr>
            </w:pPr>
          </w:p>
        </w:tc>
        <w:tc>
          <w:tcPr>
            <w:tcW w:w="3968" w:type="dxa"/>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46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728.48</w:t>
            </w:r>
            <w:r>
              <w:rPr>
                <w:rFonts w:ascii="Times New Roman" w:hAnsi="Times New Roman" w:eastAsia="仿宋_GB2312" w:cs="Times New Roman"/>
                <w:kern w:val="0"/>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728.48</w:t>
            </w:r>
            <w:r>
              <w:rPr>
                <w:rFonts w:ascii="Times New Roman" w:hAnsi="Times New Roman" w:eastAsia="仿宋_GB2312" w:cs="Times New Roman"/>
                <w:kern w:val="0"/>
                <w:szCs w:val="21"/>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7"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97" w:hRule="atLeast"/>
          <w:jc w:val="center"/>
        </w:trPr>
        <w:tc>
          <w:tcPr>
            <w:tcW w:w="1048"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w:t>
            </w:r>
          </w:p>
        </w:tc>
        <w:tc>
          <w:tcPr>
            <w:tcW w:w="39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一般公共服务支出</w:t>
            </w:r>
          </w:p>
        </w:tc>
        <w:tc>
          <w:tcPr>
            <w:tcW w:w="146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140.7</w:t>
            </w: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140.7</w:t>
            </w: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7"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97" w:hRule="atLeast"/>
          <w:jc w:val="center"/>
        </w:trPr>
        <w:tc>
          <w:tcPr>
            <w:tcW w:w="1048"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20103</w:t>
            </w:r>
          </w:p>
        </w:tc>
        <w:tc>
          <w:tcPr>
            <w:tcW w:w="39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政府办公厅（室）及相关机构事务</w:t>
            </w:r>
          </w:p>
        </w:tc>
        <w:tc>
          <w:tcPr>
            <w:tcW w:w="146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105.68</w:t>
            </w:r>
            <w:r>
              <w:rPr>
                <w:rFonts w:ascii="Times New Roman" w:hAnsi="Times New Roman" w:eastAsia="仿宋_GB2312" w:cs="Times New Roman"/>
                <w:kern w:val="0"/>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105.68</w:t>
            </w:r>
            <w:r>
              <w:rPr>
                <w:rFonts w:ascii="Times New Roman" w:hAnsi="Times New Roman" w:eastAsia="仿宋_GB2312" w:cs="Times New Roman"/>
                <w:kern w:val="0"/>
                <w:szCs w:val="21"/>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7"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97" w:hRule="atLeast"/>
          <w:jc w:val="center"/>
        </w:trPr>
        <w:tc>
          <w:tcPr>
            <w:tcW w:w="1048"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2010301</w:t>
            </w:r>
          </w:p>
        </w:tc>
        <w:tc>
          <w:tcPr>
            <w:tcW w:w="39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行政运行</w:t>
            </w:r>
          </w:p>
        </w:tc>
        <w:tc>
          <w:tcPr>
            <w:tcW w:w="146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.00</w:t>
            </w:r>
            <w:r>
              <w:rPr>
                <w:rFonts w:ascii="Times New Roman" w:hAnsi="Times New Roman" w:eastAsia="仿宋_GB2312" w:cs="Times New Roman"/>
                <w:kern w:val="0"/>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.00</w:t>
            </w:r>
            <w:r>
              <w:rPr>
                <w:rFonts w:ascii="Times New Roman" w:hAnsi="Times New Roman" w:eastAsia="仿宋_GB2312" w:cs="Times New Roman"/>
                <w:kern w:val="0"/>
                <w:szCs w:val="21"/>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7"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97" w:hRule="atLeast"/>
          <w:jc w:val="center"/>
        </w:trPr>
        <w:tc>
          <w:tcPr>
            <w:tcW w:w="1048"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2010308</w:t>
            </w:r>
          </w:p>
        </w:tc>
        <w:tc>
          <w:tcPr>
            <w:tcW w:w="39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信访事务</w:t>
            </w:r>
          </w:p>
        </w:tc>
        <w:tc>
          <w:tcPr>
            <w:tcW w:w="146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85.68</w:t>
            </w:r>
            <w:r>
              <w:rPr>
                <w:rFonts w:ascii="Times New Roman" w:hAnsi="Times New Roman" w:eastAsia="仿宋_GB2312" w:cs="Times New Roman"/>
                <w:kern w:val="0"/>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85.68</w:t>
            </w:r>
            <w:r>
              <w:rPr>
                <w:rFonts w:ascii="Times New Roman" w:hAnsi="Times New Roman" w:eastAsia="仿宋_GB2312" w:cs="Times New Roman"/>
                <w:kern w:val="0"/>
                <w:szCs w:val="21"/>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7"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97" w:hRule="atLeast"/>
          <w:jc w:val="center"/>
        </w:trPr>
        <w:tc>
          <w:tcPr>
            <w:tcW w:w="1048"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20132</w:t>
            </w:r>
          </w:p>
        </w:tc>
        <w:tc>
          <w:tcPr>
            <w:tcW w:w="39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组织事务</w:t>
            </w:r>
          </w:p>
        </w:tc>
        <w:tc>
          <w:tcPr>
            <w:tcW w:w="146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0.7</w:t>
            </w: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0.7</w:t>
            </w: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7"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97" w:hRule="atLeast"/>
          <w:jc w:val="center"/>
        </w:trPr>
        <w:tc>
          <w:tcPr>
            <w:tcW w:w="1048"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2013299</w:t>
            </w:r>
          </w:p>
        </w:tc>
        <w:tc>
          <w:tcPr>
            <w:tcW w:w="3968"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其他组织事务支出</w:t>
            </w:r>
          </w:p>
        </w:tc>
        <w:tc>
          <w:tcPr>
            <w:tcW w:w="146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0.7</w:t>
            </w: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1396"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0.7</w:t>
            </w: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141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97" w:hRule="atLeast"/>
          <w:jc w:val="center"/>
        </w:trPr>
        <w:tc>
          <w:tcPr>
            <w:tcW w:w="1048"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20199</w:t>
            </w:r>
          </w:p>
        </w:tc>
        <w:tc>
          <w:tcPr>
            <w:tcW w:w="3968"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其他一般公共服务支出</w:t>
            </w:r>
          </w:p>
        </w:tc>
        <w:tc>
          <w:tcPr>
            <w:tcW w:w="1467"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34.32</w:t>
            </w:r>
          </w:p>
        </w:tc>
        <w:tc>
          <w:tcPr>
            <w:tcW w:w="1396"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34.32</w:t>
            </w:r>
          </w:p>
        </w:tc>
        <w:tc>
          <w:tcPr>
            <w:tcW w:w="141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1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1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1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397" w:hRule="atLeast"/>
          <w:jc w:val="center"/>
        </w:trPr>
        <w:tc>
          <w:tcPr>
            <w:tcW w:w="1048"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both"/>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2019999</w:t>
            </w:r>
          </w:p>
        </w:tc>
        <w:tc>
          <w:tcPr>
            <w:tcW w:w="3968" w:type="dxa"/>
            <w:tcBorders>
              <w:top w:val="nil"/>
              <w:left w:val="nil"/>
              <w:bottom w:val="single" w:color="auto" w:sz="8" w:space="0"/>
              <w:right w:val="single" w:color="auto" w:sz="4" w:space="0"/>
            </w:tcBorders>
            <w:shd w:val="clear" w:color="auto" w:fill="auto"/>
            <w:vAlign w:val="center"/>
          </w:tcPr>
          <w:p>
            <w:pPr>
              <w:widowControl/>
              <w:ind w:firstLine="210" w:firstLineChars="100"/>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其他一般公共服务支出</w:t>
            </w:r>
          </w:p>
        </w:tc>
        <w:tc>
          <w:tcPr>
            <w:tcW w:w="1467"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34.32</w:t>
            </w:r>
          </w:p>
        </w:tc>
        <w:tc>
          <w:tcPr>
            <w:tcW w:w="1396"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34.32</w:t>
            </w:r>
          </w:p>
        </w:tc>
        <w:tc>
          <w:tcPr>
            <w:tcW w:w="141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1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1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1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397" w:hRule="atLeast"/>
          <w:jc w:val="center"/>
        </w:trPr>
        <w:tc>
          <w:tcPr>
            <w:tcW w:w="1048"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both"/>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208</w:t>
            </w:r>
          </w:p>
        </w:tc>
        <w:tc>
          <w:tcPr>
            <w:tcW w:w="3968"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社会保障和就业支出</w:t>
            </w:r>
          </w:p>
        </w:tc>
        <w:tc>
          <w:tcPr>
            <w:tcW w:w="1467"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587.78</w:t>
            </w:r>
          </w:p>
        </w:tc>
        <w:tc>
          <w:tcPr>
            <w:tcW w:w="1396"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587.78</w:t>
            </w:r>
          </w:p>
        </w:tc>
        <w:tc>
          <w:tcPr>
            <w:tcW w:w="141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1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1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1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397" w:hRule="atLeast"/>
          <w:jc w:val="center"/>
        </w:trPr>
        <w:tc>
          <w:tcPr>
            <w:tcW w:w="1048"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both"/>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20802</w:t>
            </w:r>
          </w:p>
        </w:tc>
        <w:tc>
          <w:tcPr>
            <w:tcW w:w="3968"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民政管理事务</w:t>
            </w:r>
          </w:p>
        </w:tc>
        <w:tc>
          <w:tcPr>
            <w:tcW w:w="1467"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13.73</w:t>
            </w:r>
          </w:p>
        </w:tc>
        <w:tc>
          <w:tcPr>
            <w:tcW w:w="1396"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13.73</w:t>
            </w:r>
          </w:p>
        </w:tc>
        <w:tc>
          <w:tcPr>
            <w:tcW w:w="141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1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1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1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397" w:hRule="atLeast"/>
          <w:jc w:val="center"/>
        </w:trPr>
        <w:tc>
          <w:tcPr>
            <w:tcW w:w="1048"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both"/>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2080201</w:t>
            </w:r>
          </w:p>
        </w:tc>
        <w:tc>
          <w:tcPr>
            <w:tcW w:w="3968" w:type="dxa"/>
            <w:tcBorders>
              <w:top w:val="nil"/>
              <w:left w:val="nil"/>
              <w:bottom w:val="single" w:color="auto" w:sz="8" w:space="0"/>
              <w:right w:val="single" w:color="auto" w:sz="4" w:space="0"/>
            </w:tcBorders>
            <w:shd w:val="clear" w:color="auto" w:fill="auto"/>
            <w:vAlign w:val="center"/>
          </w:tcPr>
          <w:p>
            <w:pPr>
              <w:widowControl/>
              <w:ind w:firstLine="210" w:firstLineChars="100"/>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行政运行</w:t>
            </w:r>
          </w:p>
        </w:tc>
        <w:tc>
          <w:tcPr>
            <w:tcW w:w="1467"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13.73</w:t>
            </w:r>
          </w:p>
        </w:tc>
        <w:tc>
          <w:tcPr>
            <w:tcW w:w="1396"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13.73</w:t>
            </w:r>
          </w:p>
        </w:tc>
        <w:tc>
          <w:tcPr>
            <w:tcW w:w="141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1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1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1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397" w:hRule="atLeast"/>
          <w:jc w:val="center"/>
        </w:trPr>
        <w:tc>
          <w:tcPr>
            <w:tcW w:w="1048"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both"/>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20808</w:t>
            </w:r>
          </w:p>
        </w:tc>
        <w:tc>
          <w:tcPr>
            <w:tcW w:w="3968"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抚恤</w:t>
            </w:r>
          </w:p>
        </w:tc>
        <w:tc>
          <w:tcPr>
            <w:tcW w:w="1467"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50.16</w:t>
            </w:r>
          </w:p>
        </w:tc>
        <w:tc>
          <w:tcPr>
            <w:tcW w:w="1396"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50.16</w:t>
            </w:r>
          </w:p>
        </w:tc>
        <w:tc>
          <w:tcPr>
            <w:tcW w:w="141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1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1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1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397" w:hRule="atLeast"/>
          <w:jc w:val="center"/>
        </w:trPr>
        <w:tc>
          <w:tcPr>
            <w:tcW w:w="1048"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both"/>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2080803</w:t>
            </w:r>
          </w:p>
        </w:tc>
        <w:tc>
          <w:tcPr>
            <w:tcW w:w="3968" w:type="dxa"/>
            <w:tcBorders>
              <w:top w:val="nil"/>
              <w:left w:val="nil"/>
              <w:bottom w:val="single" w:color="auto" w:sz="8" w:space="0"/>
              <w:right w:val="single" w:color="auto" w:sz="4" w:space="0"/>
            </w:tcBorders>
            <w:shd w:val="clear" w:color="auto" w:fill="auto"/>
            <w:vAlign w:val="center"/>
          </w:tcPr>
          <w:p>
            <w:pPr>
              <w:widowControl/>
              <w:ind w:firstLine="210" w:firstLineChars="100"/>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在乡复员、退伍军人生活补助</w:t>
            </w:r>
          </w:p>
        </w:tc>
        <w:tc>
          <w:tcPr>
            <w:tcW w:w="1467"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50.16</w:t>
            </w:r>
          </w:p>
        </w:tc>
        <w:tc>
          <w:tcPr>
            <w:tcW w:w="1396"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50.16</w:t>
            </w:r>
          </w:p>
        </w:tc>
        <w:tc>
          <w:tcPr>
            <w:tcW w:w="141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1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1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1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397" w:hRule="atLeast"/>
          <w:jc w:val="center"/>
        </w:trPr>
        <w:tc>
          <w:tcPr>
            <w:tcW w:w="1048"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both"/>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20828</w:t>
            </w:r>
          </w:p>
        </w:tc>
        <w:tc>
          <w:tcPr>
            <w:tcW w:w="3968"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退役军人管理事务</w:t>
            </w:r>
          </w:p>
        </w:tc>
        <w:tc>
          <w:tcPr>
            <w:tcW w:w="1467"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402.31</w:t>
            </w:r>
          </w:p>
        </w:tc>
        <w:tc>
          <w:tcPr>
            <w:tcW w:w="1396"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402.31</w:t>
            </w:r>
          </w:p>
        </w:tc>
        <w:tc>
          <w:tcPr>
            <w:tcW w:w="141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1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1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1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397" w:hRule="atLeast"/>
          <w:jc w:val="center"/>
        </w:trPr>
        <w:tc>
          <w:tcPr>
            <w:tcW w:w="1048"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both"/>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2082801</w:t>
            </w:r>
          </w:p>
        </w:tc>
        <w:tc>
          <w:tcPr>
            <w:tcW w:w="3968"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 xml:space="preserve">  行政运行</w:t>
            </w:r>
          </w:p>
        </w:tc>
        <w:tc>
          <w:tcPr>
            <w:tcW w:w="1467"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402.31</w:t>
            </w:r>
          </w:p>
        </w:tc>
        <w:tc>
          <w:tcPr>
            <w:tcW w:w="1396"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402.31</w:t>
            </w:r>
          </w:p>
        </w:tc>
        <w:tc>
          <w:tcPr>
            <w:tcW w:w="141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1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1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1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397" w:hRule="atLeast"/>
          <w:jc w:val="center"/>
        </w:trPr>
        <w:tc>
          <w:tcPr>
            <w:tcW w:w="1048"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both"/>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20899</w:t>
            </w:r>
          </w:p>
        </w:tc>
        <w:tc>
          <w:tcPr>
            <w:tcW w:w="3968"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其他社会保障和就业支出</w:t>
            </w:r>
          </w:p>
        </w:tc>
        <w:tc>
          <w:tcPr>
            <w:tcW w:w="1467"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121.58</w:t>
            </w:r>
          </w:p>
        </w:tc>
        <w:tc>
          <w:tcPr>
            <w:tcW w:w="1396"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121.58</w:t>
            </w:r>
          </w:p>
        </w:tc>
        <w:tc>
          <w:tcPr>
            <w:tcW w:w="141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1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1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1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397" w:hRule="atLeast"/>
          <w:jc w:val="center"/>
        </w:trPr>
        <w:tc>
          <w:tcPr>
            <w:tcW w:w="1048"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both"/>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2089901</w:t>
            </w:r>
          </w:p>
        </w:tc>
        <w:tc>
          <w:tcPr>
            <w:tcW w:w="3968"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 xml:space="preserve">  其他社会保障和就业支出</w:t>
            </w:r>
          </w:p>
        </w:tc>
        <w:tc>
          <w:tcPr>
            <w:tcW w:w="1467"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121.58</w:t>
            </w:r>
          </w:p>
        </w:tc>
        <w:tc>
          <w:tcPr>
            <w:tcW w:w="1396"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121.58</w:t>
            </w:r>
          </w:p>
        </w:tc>
        <w:tc>
          <w:tcPr>
            <w:tcW w:w="141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1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1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1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397" w:hRule="atLeast"/>
          <w:jc w:val="center"/>
        </w:trPr>
        <w:tc>
          <w:tcPr>
            <w:tcW w:w="14964" w:type="dxa"/>
            <w:gridSpan w:val="9"/>
            <w:tcBorders>
              <w:top w:val="single" w:color="auto" w:sz="8" w:space="0"/>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支出决算表</w:t>
      </w:r>
    </w:p>
    <w:p>
      <w:pPr>
        <w:widowControl/>
        <w:ind w:firstLine="630" w:firstLineChars="3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洞口县退役军人事务局</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lang w:val="en-US" w:eastAsia="zh-CN"/>
        </w:rPr>
        <w:t>3</w:t>
      </w:r>
      <w:r>
        <w:rPr>
          <w:rFonts w:ascii="Times New Roman" w:hAnsi="Times New Roman" w:eastAsia="仿宋_GB2312" w:cs="Times New Roman"/>
          <w:color w:val="000000"/>
          <w:kern w:val="0"/>
          <w:szCs w:val="21"/>
        </w:rPr>
        <w:t>表</w:t>
      </w:r>
    </w:p>
    <w:p>
      <w:pPr>
        <w:widowControl/>
        <w:ind w:right="63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5222" w:type="dxa"/>
        <w:jc w:val="center"/>
        <w:tblInd w:w="0" w:type="dxa"/>
        <w:tblLayout w:type="fixed"/>
        <w:tblCellMar>
          <w:top w:w="0" w:type="dxa"/>
          <w:left w:w="108" w:type="dxa"/>
          <w:bottom w:w="0" w:type="dxa"/>
          <w:right w:w="108" w:type="dxa"/>
        </w:tblCellMar>
      </w:tblPr>
      <w:tblGrid>
        <w:gridCol w:w="1048"/>
        <w:gridCol w:w="3968"/>
        <w:gridCol w:w="1701"/>
        <w:gridCol w:w="1701"/>
        <w:gridCol w:w="1701"/>
        <w:gridCol w:w="1701"/>
        <w:gridCol w:w="1701"/>
        <w:gridCol w:w="1701"/>
      </w:tblGrid>
      <w:tr>
        <w:tblPrEx>
          <w:tblLayout w:type="fixed"/>
          <w:tblCellMar>
            <w:top w:w="0" w:type="dxa"/>
            <w:left w:w="108" w:type="dxa"/>
            <w:bottom w:w="0" w:type="dxa"/>
            <w:right w:w="108" w:type="dxa"/>
          </w:tblCellMar>
        </w:tblPrEx>
        <w:trPr>
          <w:trHeight w:val="397" w:hRule="atLeast"/>
          <w:jc w:val="center"/>
        </w:trPr>
        <w:tc>
          <w:tcPr>
            <w:tcW w:w="5016" w:type="dxa"/>
            <w:gridSpan w:val="2"/>
            <w:tcBorders>
              <w:top w:val="single" w:color="auto" w:sz="8" w:space="0"/>
              <w:left w:val="single" w:color="auto" w:sz="8" w:space="0"/>
              <w:bottom w:val="single" w:color="auto" w:sz="4"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    目</w:t>
            </w:r>
          </w:p>
        </w:tc>
        <w:tc>
          <w:tcPr>
            <w:tcW w:w="1701"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本年支出合计</w:t>
            </w:r>
          </w:p>
        </w:tc>
        <w:tc>
          <w:tcPr>
            <w:tcW w:w="1701"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基本支出</w:t>
            </w:r>
          </w:p>
        </w:tc>
        <w:tc>
          <w:tcPr>
            <w:tcW w:w="1701"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项目支出</w:t>
            </w:r>
          </w:p>
        </w:tc>
        <w:tc>
          <w:tcPr>
            <w:tcW w:w="1701"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上缴上级支出</w:t>
            </w:r>
          </w:p>
        </w:tc>
        <w:tc>
          <w:tcPr>
            <w:tcW w:w="1701"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经营支出</w:t>
            </w:r>
          </w:p>
        </w:tc>
        <w:tc>
          <w:tcPr>
            <w:tcW w:w="1701"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对附属单位补助支出</w:t>
            </w:r>
          </w:p>
        </w:tc>
      </w:tr>
      <w:tr>
        <w:tblPrEx>
          <w:tblLayout w:type="fixed"/>
          <w:tblCellMar>
            <w:top w:w="0" w:type="dxa"/>
            <w:left w:w="108" w:type="dxa"/>
            <w:bottom w:w="0" w:type="dxa"/>
            <w:right w:w="108" w:type="dxa"/>
          </w:tblCellMar>
        </w:tblPrEx>
        <w:trPr>
          <w:trHeight w:val="397" w:hRule="atLeast"/>
          <w:jc w:val="center"/>
        </w:trPr>
        <w:tc>
          <w:tcPr>
            <w:tcW w:w="1048" w:type="dxa"/>
            <w:vMerge w:val="restart"/>
            <w:tcBorders>
              <w:top w:val="single" w:color="auto" w:sz="4" w:space="0"/>
              <w:left w:val="single" w:color="auto" w:sz="8"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功能分类科目编码</w:t>
            </w:r>
          </w:p>
        </w:tc>
        <w:tc>
          <w:tcPr>
            <w:tcW w:w="3968"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科目名称</w:t>
            </w:r>
          </w:p>
        </w:tc>
        <w:tc>
          <w:tcPr>
            <w:tcW w:w="1701"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701"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701"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701"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701"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701"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397" w:hRule="atLeast"/>
          <w:jc w:val="center"/>
        </w:trPr>
        <w:tc>
          <w:tcPr>
            <w:tcW w:w="1048" w:type="dxa"/>
            <w:vMerge w:val="continue"/>
            <w:tcBorders>
              <w:left w:val="single" w:color="auto" w:sz="8" w:space="0"/>
              <w:right w:val="nil"/>
            </w:tcBorders>
            <w:shd w:val="clear" w:color="auto" w:fill="auto"/>
            <w:vAlign w:val="center"/>
          </w:tcPr>
          <w:p>
            <w:pPr>
              <w:widowControl/>
              <w:jc w:val="center"/>
              <w:rPr>
                <w:rFonts w:ascii="Times New Roman" w:hAnsi="Times New Roman" w:eastAsia="仿宋_GB2312" w:cs="Times New Roman"/>
                <w:kern w:val="0"/>
                <w:szCs w:val="21"/>
              </w:rPr>
            </w:pPr>
          </w:p>
        </w:tc>
        <w:tc>
          <w:tcPr>
            <w:tcW w:w="3968" w:type="dxa"/>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Layout w:type="fixed"/>
          <w:tblCellMar>
            <w:top w:w="0" w:type="dxa"/>
            <w:left w:w="108" w:type="dxa"/>
            <w:bottom w:w="0" w:type="dxa"/>
            <w:right w:w="108" w:type="dxa"/>
          </w:tblCellMar>
        </w:tblPrEx>
        <w:trPr>
          <w:trHeight w:val="397" w:hRule="atLeast"/>
          <w:jc w:val="center"/>
        </w:trPr>
        <w:tc>
          <w:tcPr>
            <w:tcW w:w="1048" w:type="dxa"/>
            <w:vMerge w:val="continue"/>
            <w:tcBorders>
              <w:left w:val="single" w:color="auto" w:sz="8" w:space="0"/>
              <w:bottom w:val="single" w:color="auto" w:sz="4" w:space="0"/>
              <w:right w:val="nil"/>
            </w:tcBorders>
            <w:shd w:val="clear" w:color="auto" w:fill="auto"/>
            <w:vAlign w:val="center"/>
          </w:tcPr>
          <w:p>
            <w:pPr>
              <w:widowControl/>
              <w:jc w:val="center"/>
              <w:rPr>
                <w:rFonts w:ascii="Times New Roman" w:hAnsi="Times New Roman" w:eastAsia="仿宋_GB2312" w:cs="Times New Roman"/>
                <w:kern w:val="0"/>
                <w:szCs w:val="21"/>
              </w:rPr>
            </w:pPr>
          </w:p>
        </w:tc>
        <w:tc>
          <w:tcPr>
            <w:tcW w:w="3968" w:type="dxa"/>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728.48</w:t>
            </w:r>
            <w:r>
              <w:rPr>
                <w:rFonts w:ascii="Times New Roman" w:hAnsi="Times New Roman" w:eastAsia="仿宋_GB2312" w:cs="Times New Roman"/>
                <w:kern w:val="0"/>
                <w:szCs w:val="21"/>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728.48</w:t>
            </w:r>
            <w:r>
              <w:rPr>
                <w:rFonts w:ascii="Times New Roman" w:hAnsi="Times New Roman" w:eastAsia="仿宋_GB2312" w:cs="Times New Roman"/>
                <w:kern w:val="0"/>
                <w:szCs w:val="21"/>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97" w:hRule="atLeast"/>
          <w:jc w:val="center"/>
        </w:trPr>
        <w:tc>
          <w:tcPr>
            <w:tcW w:w="1048"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w:t>
            </w:r>
          </w:p>
        </w:tc>
        <w:tc>
          <w:tcPr>
            <w:tcW w:w="39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一般公共服务支出</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140.7</w:t>
            </w: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140.7</w:t>
            </w: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97" w:hRule="atLeast"/>
          <w:jc w:val="center"/>
        </w:trPr>
        <w:tc>
          <w:tcPr>
            <w:tcW w:w="1048"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20103</w:t>
            </w:r>
          </w:p>
        </w:tc>
        <w:tc>
          <w:tcPr>
            <w:tcW w:w="39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政府办公厅（室）及相关机构事务</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105.68</w:t>
            </w:r>
            <w:r>
              <w:rPr>
                <w:rFonts w:ascii="Times New Roman" w:hAnsi="Times New Roman" w:eastAsia="仿宋_GB2312" w:cs="Times New Roman"/>
                <w:kern w:val="0"/>
                <w:szCs w:val="21"/>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105.68</w:t>
            </w:r>
            <w:r>
              <w:rPr>
                <w:rFonts w:ascii="Times New Roman" w:hAnsi="Times New Roman" w:eastAsia="仿宋_GB2312" w:cs="Times New Roman"/>
                <w:kern w:val="0"/>
                <w:szCs w:val="21"/>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97" w:hRule="atLeast"/>
          <w:jc w:val="center"/>
        </w:trPr>
        <w:tc>
          <w:tcPr>
            <w:tcW w:w="1048"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2010301</w:t>
            </w:r>
          </w:p>
        </w:tc>
        <w:tc>
          <w:tcPr>
            <w:tcW w:w="39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行政运行</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.00</w:t>
            </w:r>
            <w:r>
              <w:rPr>
                <w:rFonts w:ascii="Times New Roman" w:hAnsi="Times New Roman" w:eastAsia="仿宋_GB2312" w:cs="Times New Roman"/>
                <w:kern w:val="0"/>
                <w:szCs w:val="21"/>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.00</w:t>
            </w:r>
            <w:r>
              <w:rPr>
                <w:rFonts w:ascii="Times New Roman" w:hAnsi="Times New Roman" w:eastAsia="仿宋_GB2312" w:cs="Times New Roman"/>
                <w:kern w:val="0"/>
                <w:szCs w:val="21"/>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97" w:hRule="atLeast"/>
          <w:jc w:val="center"/>
        </w:trPr>
        <w:tc>
          <w:tcPr>
            <w:tcW w:w="1048"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2010308</w:t>
            </w:r>
          </w:p>
        </w:tc>
        <w:tc>
          <w:tcPr>
            <w:tcW w:w="39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信访事务</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85.68</w:t>
            </w:r>
            <w:r>
              <w:rPr>
                <w:rFonts w:ascii="Times New Roman" w:hAnsi="Times New Roman" w:eastAsia="仿宋_GB2312" w:cs="Times New Roman"/>
                <w:kern w:val="0"/>
                <w:szCs w:val="21"/>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85.68</w:t>
            </w:r>
            <w:r>
              <w:rPr>
                <w:rFonts w:ascii="Times New Roman" w:hAnsi="Times New Roman" w:eastAsia="仿宋_GB2312" w:cs="Times New Roman"/>
                <w:kern w:val="0"/>
                <w:szCs w:val="21"/>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97" w:hRule="atLeast"/>
          <w:jc w:val="center"/>
        </w:trPr>
        <w:tc>
          <w:tcPr>
            <w:tcW w:w="1048"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20132</w:t>
            </w:r>
          </w:p>
        </w:tc>
        <w:tc>
          <w:tcPr>
            <w:tcW w:w="39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组织事务</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0.7</w:t>
            </w: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0.7</w:t>
            </w: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97" w:hRule="atLeast"/>
          <w:jc w:val="center"/>
        </w:trPr>
        <w:tc>
          <w:tcPr>
            <w:tcW w:w="1048"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2013299</w:t>
            </w:r>
          </w:p>
        </w:tc>
        <w:tc>
          <w:tcPr>
            <w:tcW w:w="3968"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其他组织事务支出</w:t>
            </w: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0.7</w:t>
            </w: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0.7</w:t>
            </w: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97" w:hRule="atLeast"/>
          <w:jc w:val="center"/>
        </w:trPr>
        <w:tc>
          <w:tcPr>
            <w:tcW w:w="1048"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20199</w:t>
            </w:r>
          </w:p>
        </w:tc>
        <w:tc>
          <w:tcPr>
            <w:tcW w:w="3968"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其他一般公共服务支出</w:t>
            </w: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34.32</w:t>
            </w: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34.32</w:t>
            </w: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397" w:hRule="atLeast"/>
          <w:jc w:val="center"/>
        </w:trPr>
        <w:tc>
          <w:tcPr>
            <w:tcW w:w="1048"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both"/>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2019999</w:t>
            </w:r>
          </w:p>
        </w:tc>
        <w:tc>
          <w:tcPr>
            <w:tcW w:w="3968" w:type="dxa"/>
            <w:tcBorders>
              <w:top w:val="nil"/>
              <w:left w:val="nil"/>
              <w:bottom w:val="single" w:color="auto" w:sz="8" w:space="0"/>
              <w:right w:val="single" w:color="auto" w:sz="4" w:space="0"/>
            </w:tcBorders>
            <w:shd w:val="clear" w:color="auto" w:fill="auto"/>
            <w:vAlign w:val="center"/>
          </w:tcPr>
          <w:p>
            <w:pPr>
              <w:widowControl/>
              <w:ind w:firstLine="210" w:firstLineChars="100"/>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其他一般公共服务支出</w:t>
            </w: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34.32</w:t>
            </w: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34.32</w:t>
            </w: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397" w:hRule="atLeast"/>
          <w:jc w:val="center"/>
        </w:trPr>
        <w:tc>
          <w:tcPr>
            <w:tcW w:w="1048"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both"/>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208</w:t>
            </w:r>
          </w:p>
        </w:tc>
        <w:tc>
          <w:tcPr>
            <w:tcW w:w="3968"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社会保障和就业支出</w:t>
            </w: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587.78</w:t>
            </w: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587.78</w:t>
            </w: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397" w:hRule="atLeast"/>
          <w:jc w:val="center"/>
        </w:trPr>
        <w:tc>
          <w:tcPr>
            <w:tcW w:w="1048"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both"/>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20802</w:t>
            </w:r>
          </w:p>
        </w:tc>
        <w:tc>
          <w:tcPr>
            <w:tcW w:w="3968"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民政管理事务</w:t>
            </w: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13.73</w:t>
            </w: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13.73</w:t>
            </w: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397" w:hRule="atLeast"/>
          <w:jc w:val="center"/>
        </w:trPr>
        <w:tc>
          <w:tcPr>
            <w:tcW w:w="1048"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both"/>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2080201</w:t>
            </w:r>
          </w:p>
        </w:tc>
        <w:tc>
          <w:tcPr>
            <w:tcW w:w="3968" w:type="dxa"/>
            <w:tcBorders>
              <w:top w:val="nil"/>
              <w:left w:val="nil"/>
              <w:bottom w:val="single" w:color="auto" w:sz="8" w:space="0"/>
              <w:right w:val="single" w:color="auto" w:sz="4" w:space="0"/>
            </w:tcBorders>
            <w:shd w:val="clear" w:color="auto" w:fill="auto"/>
            <w:vAlign w:val="center"/>
          </w:tcPr>
          <w:p>
            <w:pPr>
              <w:widowControl/>
              <w:ind w:firstLine="210" w:firstLineChars="100"/>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行政运行</w:t>
            </w: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13.73</w:t>
            </w: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13.73</w:t>
            </w: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397" w:hRule="atLeast"/>
          <w:jc w:val="center"/>
        </w:trPr>
        <w:tc>
          <w:tcPr>
            <w:tcW w:w="1048"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both"/>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20808</w:t>
            </w:r>
          </w:p>
        </w:tc>
        <w:tc>
          <w:tcPr>
            <w:tcW w:w="3968"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抚恤</w:t>
            </w: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50.16</w:t>
            </w: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50.16</w:t>
            </w: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397" w:hRule="atLeast"/>
          <w:jc w:val="center"/>
        </w:trPr>
        <w:tc>
          <w:tcPr>
            <w:tcW w:w="1048"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both"/>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2080803</w:t>
            </w:r>
          </w:p>
        </w:tc>
        <w:tc>
          <w:tcPr>
            <w:tcW w:w="3968" w:type="dxa"/>
            <w:tcBorders>
              <w:top w:val="nil"/>
              <w:left w:val="nil"/>
              <w:bottom w:val="single" w:color="auto" w:sz="8" w:space="0"/>
              <w:right w:val="single" w:color="auto" w:sz="4" w:space="0"/>
            </w:tcBorders>
            <w:shd w:val="clear" w:color="auto" w:fill="auto"/>
            <w:vAlign w:val="center"/>
          </w:tcPr>
          <w:p>
            <w:pPr>
              <w:widowControl/>
              <w:ind w:firstLine="210" w:firstLineChars="100"/>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在乡复员、退伍军人生活补助</w:t>
            </w: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50.16</w:t>
            </w: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50.16</w:t>
            </w: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397" w:hRule="atLeast"/>
          <w:jc w:val="center"/>
        </w:trPr>
        <w:tc>
          <w:tcPr>
            <w:tcW w:w="1048"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both"/>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20828</w:t>
            </w:r>
          </w:p>
        </w:tc>
        <w:tc>
          <w:tcPr>
            <w:tcW w:w="3968"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退役军人管理事务</w:t>
            </w: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402.31</w:t>
            </w: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402.31</w:t>
            </w: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397" w:hRule="atLeast"/>
          <w:jc w:val="center"/>
        </w:trPr>
        <w:tc>
          <w:tcPr>
            <w:tcW w:w="1048"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both"/>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2082801</w:t>
            </w:r>
          </w:p>
        </w:tc>
        <w:tc>
          <w:tcPr>
            <w:tcW w:w="3968"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 xml:space="preserve">  行政运行</w:t>
            </w: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402.31</w:t>
            </w: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402.31</w:t>
            </w: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397" w:hRule="atLeast"/>
          <w:jc w:val="center"/>
        </w:trPr>
        <w:tc>
          <w:tcPr>
            <w:tcW w:w="1048"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both"/>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20899</w:t>
            </w:r>
          </w:p>
        </w:tc>
        <w:tc>
          <w:tcPr>
            <w:tcW w:w="3968"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其他社会保障和就业支出</w:t>
            </w: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121.58</w:t>
            </w: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121.58</w:t>
            </w: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397" w:hRule="atLeast"/>
          <w:jc w:val="center"/>
        </w:trPr>
        <w:tc>
          <w:tcPr>
            <w:tcW w:w="1048"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both"/>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2089901</w:t>
            </w:r>
          </w:p>
        </w:tc>
        <w:tc>
          <w:tcPr>
            <w:tcW w:w="3968"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 xml:space="preserve">  其他社会保障和就业支出</w:t>
            </w: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121.58</w:t>
            </w: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121.58</w:t>
            </w: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701"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r>
    </w:tbl>
    <w:p>
      <w:pPr>
        <w:widowControl/>
        <w:spacing w:line="400" w:lineRule="exact"/>
        <w:ind w:right="700" w:firstLine="420" w:firstLineChars="200"/>
        <w:jc w:val="both"/>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注：本表反映部门本年度各项支出情况。</w:t>
      </w: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ind w:left="93"/>
        <w:jc w:val="center"/>
        <w:rPr>
          <w:rFonts w:ascii="Times New Roman" w:hAnsi="Times New Roman" w:eastAsia="方正小标宋_GBK" w:cs="Times New Roman"/>
          <w:color w:val="000000"/>
          <w:kern w:val="0"/>
          <w:sz w:val="36"/>
          <w:szCs w:val="21"/>
        </w:rPr>
      </w:pPr>
      <w:r>
        <w:rPr>
          <w:rFonts w:ascii="Times New Roman" w:hAnsi="Times New Roman" w:eastAsia="方正小标宋_GBK" w:cs="Times New Roman"/>
          <w:color w:val="000000"/>
          <w:kern w:val="0"/>
          <w:sz w:val="36"/>
          <w:szCs w:val="21"/>
        </w:rPr>
        <w:t>财政拨款收入支出决算总表</w:t>
      </w:r>
    </w:p>
    <w:p>
      <w:pPr>
        <w:widowControl/>
        <w:tabs>
          <w:tab w:val="left" w:pos="4453"/>
          <w:tab w:val="left" w:pos="4933"/>
          <w:tab w:val="left" w:pos="6813"/>
          <w:tab w:val="left" w:pos="11113"/>
          <w:tab w:val="left" w:pos="11549"/>
          <w:tab w:val="left" w:pos="13429"/>
          <w:tab w:val="left" w:pos="15089"/>
        </w:tabs>
        <w:spacing w:line="240" w:lineRule="exact"/>
        <w:ind w:left="91" w:right="630"/>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公开04表</w:t>
      </w:r>
    </w:p>
    <w:p>
      <w:pPr>
        <w:widowControl/>
        <w:tabs>
          <w:tab w:val="left" w:pos="13725"/>
          <w:tab w:val="left" w:pos="13755"/>
          <w:tab w:val="left" w:pos="13800"/>
        </w:tabs>
        <w:spacing w:line="240" w:lineRule="exact"/>
        <w:ind w:left="91" w:firstLine="315" w:firstLineChars="1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洞口县退役军人事务局</w:t>
      </w:r>
      <w:r>
        <w:rPr>
          <w:rFonts w:ascii="Times New Roman" w:hAnsi="Times New Roman" w:eastAsia="仿宋_GB2312" w:cs="Times New Roman"/>
          <w:color w:val="000000"/>
          <w:kern w:val="0"/>
          <w:szCs w:val="21"/>
        </w:rPr>
        <w:tab/>
      </w:r>
      <w:r>
        <w:rPr>
          <w:rFonts w:ascii="Times New Roman" w:hAnsi="Times New Roman" w:eastAsia="仿宋_GB2312" w:cs="Times New Roman"/>
          <w:color w:val="000000"/>
          <w:kern w:val="0"/>
          <w:szCs w:val="21"/>
        </w:rPr>
        <w:t>单位：万元</w:t>
      </w:r>
    </w:p>
    <w:tbl>
      <w:tblPr>
        <w:tblStyle w:val="8"/>
        <w:tblW w:w="14657"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994"/>
        <w:gridCol w:w="480"/>
        <w:gridCol w:w="1880"/>
        <w:gridCol w:w="3761"/>
        <w:gridCol w:w="430"/>
        <w:gridCol w:w="1880"/>
        <w:gridCol w:w="1660"/>
        <w:gridCol w:w="15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62" w:hRule="atLeast"/>
          <w:jc w:val="center"/>
        </w:trPr>
        <w:tc>
          <w:tcPr>
            <w:tcW w:w="5354"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收入</w:t>
            </w:r>
          </w:p>
        </w:tc>
        <w:tc>
          <w:tcPr>
            <w:tcW w:w="9303" w:type="dxa"/>
            <w:gridSpan w:val="5"/>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93" w:hRule="atLeast"/>
          <w:jc w:val="center"/>
        </w:trPr>
        <w:tc>
          <w:tcPr>
            <w:tcW w:w="2994"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480"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金额</w:t>
            </w:r>
          </w:p>
        </w:tc>
        <w:tc>
          <w:tcPr>
            <w:tcW w:w="3761"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430"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合计</w:t>
            </w:r>
          </w:p>
        </w:tc>
        <w:tc>
          <w:tcPr>
            <w:tcW w:w="1660"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一般公共预算财政拨款</w:t>
            </w:r>
          </w:p>
        </w:tc>
        <w:tc>
          <w:tcPr>
            <w:tcW w:w="1572"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政府性基金预算财政拨款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761"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66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572"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一、一般公共预算财政拨款</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728.48</w:t>
            </w: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一、一般公共服务支出</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1880" w:type="dxa"/>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140.7</w:t>
            </w:r>
            <w:r>
              <w:rPr>
                <w:rFonts w:hint="eastAsia" w:ascii="Times New Roman" w:hAnsi="Times New Roman" w:eastAsia="仿宋_GB2312" w:cs="Times New Roman"/>
                <w:kern w:val="0"/>
                <w:szCs w:val="21"/>
                <w:lang w:val="en-US" w:eastAsia="zh-CN"/>
              </w:rPr>
              <w:t>0</w:t>
            </w:r>
          </w:p>
        </w:tc>
        <w:tc>
          <w:tcPr>
            <w:tcW w:w="1660" w:type="dxa"/>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rPr>
              <w:t>140.7</w:t>
            </w:r>
            <w:r>
              <w:rPr>
                <w:rFonts w:hint="eastAsia" w:ascii="Times New Roman" w:hAnsi="Times New Roman" w:eastAsia="仿宋_GB2312" w:cs="Times New Roman"/>
                <w:kern w:val="0"/>
                <w:szCs w:val="21"/>
                <w:lang w:val="en-US" w:eastAsia="zh-CN"/>
              </w:rPr>
              <w:t>0</w:t>
            </w:r>
          </w:p>
        </w:tc>
        <w:tc>
          <w:tcPr>
            <w:tcW w:w="1572"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二、政府性基金预算财政拨款</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二、外交支出</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三、国防支出</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四、公共安全支出</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五、教育支出</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六、科学技术支出</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七、文化旅游体育与传媒支出</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88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八、社会保障和就业支出</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22</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587.78</w:t>
            </w:r>
          </w:p>
        </w:tc>
        <w:tc>
          <w:tcPr>
            <w:tcW w:w="166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587.78</w:t>
            </w:r>
          </w:p>
        </w:tc>
        <w:tc>
          <w:tcPr>
            <w:tcW w:w="1572"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本年收入合计</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728.48</w:t>
            </w:r>
            <w:r>
              <w:rPr>
                <w:rFonts w:ascii="Times New Roman" w:hAnsi="Times New Roman" w:eastAsia="仿宋_GB2312" w:cs="Times New Roman"/>
                <w:kern w:val="0"/>
                <w:szCs w:val="21"/>
              </w:rPr>
              <w:t>　</w:t>
            </w:r>
          </w:p>
        </w:tc>
        <w:tc>
          <w:tcPr>
            <w:tcW w:w="3761" w:type="dxa"/>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本年支出合计</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23</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728.48</w:t>
            </w:r>
            <w:r>
              <w:rPr>
                <w:rFonts w:ascii="Times New Roman" w:hAnsi="Times New Roman" w:eastAsia="仿宋_GB2312" w:cs="Times New Roman"/>
                <w:kern w:val="0"/>
                <w:szCs w:val="21"/>
              </w:rPr>
              <w:t>　</w:t>
            </w:r>
          </w:p>
        </w:tc>
        <w:tc>
          <w:tcPr>
            <w:tcW w:w="166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728.48</w:t>
            </w:r>
            <w:r>
              <w:rPr>
                <w:rFonts w:ascii="Times New Roman" w:hAnsi="Times New Roman" w:eastAsia="仿宋_GB2312" w:cs="Times New Roman"/>
                <w:kern w:val="0"/>
                <w:szCs w:val="21"/>
              </w:rPr>
              <w:t>　</w:t>
            </w:r>
          </w:p>
        </w:tc>
        <w:tc>
          <w:tcPr>
            <w:tcW w:w="1572" w:type="dxa"/>
            <w:shd w:val="clear" w:color="auto" w:fill="auto"/>
            <w:vAlign w:val="center"/>
          </w:tcPr>
          <w:p>
            <w:pPr>
              <w:widowControl/>
              <w:jc w:val="lef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年初财政拨款结转和结余</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年末财政拨款结转和结余</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24</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w:t>
            </w:r>
            <w:r>
              <w:rPr>
                <w:rFonts w:ascii="Times New Roman" w:hAnsi="Times New Roman" w:eastAsia="仿宋_GB2312" w:cs="Times New Roman"/>
                <w:kern w:val="0"/>
                <w:szCs w:val="21"/>
              </w:rPr>
              <w:t>一般公共预算财政拨款</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w:t>
            </w:r>
            <w:r>
              <w:rPr>
                <w:rFonts w:ascii="Times New Roman" w:hAnsi="Times New Roman" w:eastAsia="仿宋_GB2312" w:cs="Times New Roman"/>
                <w:kern w:val="0"/>
                <w:szCs w:val="21"/>
              </w:rPr>
              <w:t>政府性基金预算财政拨款</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27</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728.48</w:t>
            </w:r>
            <w:r>
              <w:rPr>
                <w:rFonts w:ascii="Times New Roman" w:hAnsi="Times New Roman" w:eastAsia="仿宋_GB2312" w:cs="Times New Roman"/>
                <w:kern w:val="0"/>
                <w:szCs w:val="21"/>
              </w:rPr>
              <w:t>　</w:t>
            </w:r>
          </w:p>
        </w:tc>
        <w:tc>
          <w:tcPr>
            <w:tcW w:w="3761" w:type="dxa"/>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28</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728.48</w:t>
            </w:r>
          </w:p>
        </w:tc>
        <w:tc>
          <w:tcPr>
            <w:tcW w:w="166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728.48</w:t>
            </w:r>
            <w:r>
              <w:rPr>
                <w:rFonts w:ascii="Times New Roman" w:hAnsi="Times New Roman" w:eastAsia="仿宋_GB2312" w:cs="Times New Roman"/>
                <w:kern w:val="0"/>
                <w:szCs w:val="21"/>
              </w:rPr>
              <w:t>　</w:t>
            </w:r>
          </w:p>
        </w:tc>
        <w:tc>
          <w:tcPr>
            <w:tcW w:w="1572" w:type="dxa"/>
            <w:shd w:val="clear" w:color="auto" w:fill="auto"/>
            <w:vAlign w:val="center"/>
          </w:tcPr>
          <w:p>
            <w:pPr>
              <w:widowControl/>
              <w:jc w:val="lef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注：本表反映部门本年度一般公共预算财政拨款和政府性基金预算财政拨款的总收支和年末结转结余情况。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br w:type="page"/>
      </w:r>
    </w:p>
    <w:p>
      <w:pPr>
        <w:widowControl/>
        <w:jc w:val="center"/>
        <w:rPr>
          <w:rFonts w:ascii="Times New Roman" w:hAnsi="Times New Roman" w:eastAsia="方正小标宋_GBK" w:cs="Times New Roman"/>
          <w:kern w:val="0"/>
          <w:sz w:val="36"/>
          <w:szCs w:val="36"/>
        </w:rPr>
      </w:pPr>
      <w:bookmarkStart w:id="0" w:name="RANGE!A1:F16"/>
      <w:r>
        <w:rPr>
          <w:rFonts w:ascii="Times New Roman" w:hAnsi="Times New Roman" w:eastAsia="方正小标宋_GBK" w:cs="Times New Roman"/>
          <w:kern w:val="0"/>
          <w:sz w:val="36"/>
          <w:szCs w:val="36"/>
        </w:rPr>
        <w:t>一般公共预算财政拨款支出决算表</w:t>
      </w:r>
      <w:bookmarkEnd w:id="0"/>
    </w:p>
    <w:p>
      <w:pPr>
        <w:widowControl/>
        <w:ind w:firstLine="630" w:firstLineChars="3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洞口县退役军人事务局</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lang w:val="en-US" w:eastAsia="zh-CN"/>
        </w:rPr>
        <w:t>5</w:t>
      </w:r>
      <w:r>
        <w:rPr>
          <w:rFonts w:ascii="Times New Roman" w:hAnsi="Times New Roman" w:eastAsia="仿宋_GB2312" w:cs="Times New Roman"/>
          <w:color w:val="000000"/>
          <w:kern w:val="0"/>
          <w:szCs w:val="21"/>
        </w:rPr>
        <w:t>表</w:t>
      </w:r>
    </w:p>
    <w:p>
      <w:pPr>
        <w:widowControl/>
        <w:ind w:right="63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4088" w:type="dxa"/>
        <w:jc w:val="center"/>
        <w:tblInd w:w="0" w:type="dxa"/>
        <w:tblLayout w:type="fixed"/>
        <w:tblCellMar>
          <w:top w:w="0" w:type="dxa"/>
          <w:left w:w="108" w:type="dxa"/>
          <w:bottom w:w="0" w:type="dxa"/>
          <w:right w:w="108" w:type="dxa"/>
        </w:tblCellMar>
      </w:tblPr>
      <w:tblGrid>
        <w:gridCol w:w="1048"/>
        <w:gridCol w:w="4535"/>
        <w:gridCol w:w="2835"/>
        <w:gridCol w:w="2835"/>
        <w:gridCol w:w="2835"/>
      </w:tblGrid>
      <w:tr>
        <w:tblPrEx>
          <w:tblLayout w:type="fixed"/>
          <w:tblCellMar>
            <w:top w:w="0" w:type="dxa"/>
            <w:left w:w="108" w:type="dxa"/>
            <w:bottom w:w="0" w:type="dxa"/>
            <w:right w:w="108" w:type="dxa"/>
          </w:tblCellMar>
        </w:tblPrEx>
        <w:trPr>
          <w:trHeight w:val="397" w:hRule="atLeast"/>
          <w:jc w:val="center"/>
        </w:trPr>
        <w:tc>
          <w:tcPr>
            <w:tcW w:w="5583" w:type="dxa"/>
            <w:gridSpan w:val="2"/>
            <w:tcBorders>
              <w:top w:val="single" w:color="auto" w:sz="8" w:space="0"/>
              <w:left w:val="single" w:color="auto" w:sz="8" w:space="0"/>
              <w:bottom w:val="single" w:color="auto" w:sz="4" w:space="0"/>
              <w:right w:val="nil"/>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8505" w:type="dxa"/>
            <w:gridSpan w:val="3"/>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lang w:val="en-US" w:eastAsia="zh-CN"/>
              </w:rPr>
            </w:pPr>
            <w:r>
              <w:rPr>
                <w:rFonts w:ascii="Times New Roman" w:hAnsi="Times New Roman" w:eastAsia="仿宋_GB2312" w:cs="Times New Roman"/>
                <w:b/>
                <w:kern w:val="0"/>
                <w:szCs w:val="21"/>
              </w:rPr>
              <w:t>本年支出</w:t>
            </w:r>
          </w:p>
        </w:tc>
      </w:tr>
      <w:tr>
        <w:tblPrEx>
          <w:tblLayout w:type="fixed"/>
          <w:tblCellMar>
            <w:top w:w="0" w:type="dxa"/>
            <w:left w:w="108" w:type="dxa"/>
            <w:bottom w:w="0" w:type="dxa"/>
            <w:right w:w="108" w:type="dxa"/>
          </w:tblCellMar>
        </w:tblPrEx>
        <w:trPr>
          <w:trHeight w:val="397" w:hRule="atLeast"/>
          <w:jc w:val="center"/>
        </w:trPr>
        <w:tc>
          <w:tcPr>
            <w:tcW w:w="1048" w:type="dxa"/>
            <w:vMerge w:val="restart"/>
            <w:tcBorders>
              <w:top w:val="single" w:color="auto" w:sz="4" w:space="0"/>
              <w:left w:val="single" w:color="auto" w:sz="8" w:space="0"/>
              <w:right w:val="nil"/>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535"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5" w:type="dxa"/>
            <w:tcBorders>
              <w:top w:val="single" w:color="auto" w:sz="8" w:space="0"/>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b/>
                <w:kern w:val="0"/>
                <w:szCs w:val="21"/>
                <w:lang w:val="en-US" w:eastAsia="zh-CN"/>
              </w:rPr>
            </w:pPr>
            <w:r>
              <w:rPr>
                <w:rFonts w:ascii="Times New Roman" w:hAnsi="Times New Roman" w:eastAsia="仿宋_GB2312" w:cs="Times New Roman"/>
                <w:b/>
                <w:kern w:val="0"/>
                <w:szCs w:val="21"/>
              </w:rPr>
              <w:t>小计</w:t>
            </w:r>
          </w:p>
        </w:tc>
        <w:tc>
          <w:tcPr>
            <w:tcW w:w="2835" w:type="dxa"/>
            <w:tcBorders>
              <w:top w:val="single" w:color="auto" w:sz="8" w:space="0"/>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b/>
                <w:kern w:val="0"/>
                <w:szCs w:val="21"/>
                <w:lang w:val="en-US" w:eastAsia="zh-CN"/>
              </w:rPr>
            </w:pPr>
            <w:r>
              <w:rPr>
                <w:rFonts w:ascii="Times New Roman" w:hAnsi="Times New Roman" w:eastAsia="仿宋_GB2312" w:cs="Times New Roman"/>
                <w:b/>
                <w:kern w:val="0"/>
                <w:szCs w:val="21"/>
              </w:rPr>
              <w:t>基本支出</w:t>
            </w:r>
          </w:p>
        </w:tc>
        <w:tc>
          <w:tcPr>
            <w:tcW w:w="2835" w:type="dxa"/>
            <w:tcBorders>
              <w:top w:val="single" w:color="auto" w:sz="8" w:space="0"/>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b/>
                <w:kern w:val="0"/>
                <w:szCs w:val="21"/>
                <w:lang w:val="en-US" w:eastAsia="zh-CN"/>
              </w:rPr>
            </w:pPr>
            <w:r>
              <w:rPr>
                <w:rFonts w:ascii="Times New Roman" w:hAnsi="Times New Roman" w:eastAsia="仿宋_GB2312" w:cs="Times New Roman"/>
                <w:b/>
                <w:kern w:val="0"/>
                <w:szCs w:val="21"/>
              </w:rPr>
              <w:t>项目支出</w:t>
            </w:r>
          </w:p>
        </w:tc>
      </w:tr>
      <w:tr>
        <w:tblPrEx>
          <w:tblLayout w:type="fixed"/>
          <w:tblCellMar>
            <w:top w:w="0" w:type="dxa"/>
            <w:left w:w="108" w:type="dxa"/>
            <w:bottom w:w="0" w:type="dxa"/>
            <w:right w:w="108" w:type="dxa"/>
          </w:tblCellMar>
        </w:tblPrEx>
        <w:trPr>
          <w:trHeight w:val="397" w:hRule="atLeast"/>
          <w:jc w:val="center"/>
        </w:trPr>
        <w:tc>
          <w:tcPr>
            <w:tcW w:w="1048" w:type="dxa"/>
            <w:vMerge w:val="continue"/>
            <w:tcBorders>
              <w:left w:val="single" w:color="auto" w:sz="8" w:space="0"/>
              <w:right w:val="nil"/>
            </w:tcBorders>
            <w:shd w:val="clear" w:color="auto" w:fill="auto"/>
            <w:vAlign w:val="center"/>
          </w:tcPr>
          <w:p>
            <w:pPr>
              <w:widowControl/>
              <w:jc w:val="center"/>
              <w:rPr>
                <w:rFonts w:ascii="Times New Roman" w:hAnsi="Times New Roman" w:eastAsia="仿宋_GB2312" w:cs="Times New Roman"/>
                <w:kern w:val="0"/>
                <w:szCs w:val="21"/>
              </w:rPr>
            </w:pPr>
          </w:p>
        </w:tc>
        <w:tc>
          <w:tcPr>
            <w:tcW w:w="4535" w:type="dxa"/>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Layout w:type="fixed"/>
          <w:tblCellMar>
            <w:top w:w="0" w:type="dxa"/>
            <w:left w:w="108" w:type="dxa"/>
            <w:bottom w:w="0" w:type="dxa"/>
            <w:right w:w="108" w:type="dxa"/>
          </w:tblCellMar>
        </w:tblPrEx>
        <w:trPr>
          <w:trHeight w:val="397" w:hRule="atLeast"/>
          <w:jc w:val="center"/>
        </w:trPr>
        <w:tc>
          <w:tcPr>
            <w:tcW w:w="1048" w:type="dxa"/>
            <w:vMerge w:val="continue"/>
            <w:tcBorders>
              <w:left w:val="single" w:color="auto" w:sz="8" w:space="0"/>
              <w:bottom w:val="single" w:color="auto" w:sz="4" w:space="0"/>
              <w:right w:val="nil"/>
            </w:tcBorders>
            <w:shd w:val="clear" w:color="auto" w:fill="auto"/>
            <w:vAlign w:val="center"/>
          </w:tcPr>
          <w:p>
            <w:pPr>
              <w:widowControl/>
              <w:jc w:val="center"/>
              <w:rPr>
                <w:rFonts w:ascii="Times New Roman" w:hAnsi="Times New Roman" w:eastAsia="仿宋_GB2312" w:cs="Times New Roman"/>
                <w:kern w:val="0"/>
                <w:szCs w:val="21"/>
              </w:rPr>
            </w:pPr>
          </w:p>
        </w:tc>
        <w:tc>
          <w:tcPr>
            <w:tcW w:w="4535" w:type="dxa"/>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83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728.48</w:t>
            </w:r>
            <w:r>
              <w:rPr>
                <w:rFonts w:ascii="Times New Roman" w:hAnsi="Times New Roman" w:eastAsia="仿宋_GB2312" w:cs="Times New Roman"/>
                <w:kern w:val="0"/>
                <w:szCs w:val="21"/>
              </w:rPr>
              <w:t>　</w:t>
            </w:r>
          </w:p>
        </w:tc>
        <w:tc>
          <w:tcPr>
            <w:tcW w:w="283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728.48</w:t>
            </w:r>
            <w:r>
              <w:rPr>
                <w:rFonts w:ascii="Times New Roman" w:hAnsi="Times New Roman" w:eastAsia="仿宋_GB2312" w:cs="Times New Roman"/>
                <w:kern w:val="0"/>
                <w:szCs w:val="21"/>
              </w:rPr>
              <w:t>　</w:t>
            </w:r>
          </w:p>
        </w:tc>
        <w:tc>
          <w:tcPr>
            <w:tcW w:w="283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97" w:hRule="atLeast"/>
          <w:jc w:val="center"/>
        </w:trPr>
        <w:tc>
          <w:tcPr>
            <w:tcW w:w="1048"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w:t>
            </w:r>
          </w:p>
        </w:tc>
        <w:tc>
          <w:tcPr>
            <w:tcW w:w="453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一般公共服务支出</w:t>
            </w:r>
          </w:p>
        </w:tc>
        <w:tc>
          <w:tcPr>
            <w:tcW w:w="283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140.7</w:t>
            </w: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83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140.7</w:t>
            </w: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83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97" w:hRule="atLeast"/>
          <w:jc w:val="center"/>
        </w:trPr>
        <w:tc>
          <w:tcPr>
            <w:tcW w:w="1048"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20103</w:t>
            </w:r>
          </w:p>
        </w:tc>
        <w:tc>
          <w:tcPr>
            <w:tcW w:w="453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政府办公厅（室）及相关机构事务</w:t>
            </w:r>
          </w:p>
        </w:tc>
        <w:tc>
          <w:tcPr>
            <w:tcW w:w="283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105.68</w:t>
            </w:r>
            <w:r>
              <w:rPr>
                <w:rFonts w:ascii="Times New Roman" w:hAnsi="Times New Roman" w:eastAsia="仿宋_GB2312" w:cs="Times New Roman"/>
                <w:kern w:val="0"/>
                <w:szCs w:val="21"/>
              </w:rPr>
              <w:t>　</w:t>
            </w:r>
          </w:p>
        </w:tc>
        <w:tc>
          <w:tcPr>
            <w:tcW w:w="283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105.68</w:t>
            </w:r>
            <w:r>
              <w:rPr>
                <w:rFonts w:ascii="Times New Roman" w:hAnsi="Times New Roman" w:eastAsia="仿宋_GB2312" w:cs="Times New Roman"/>
                <w:kern w:val="0"/>
                <w:szCs w:val="21"/>
              </w:rPr>
              <w:t>　</w:t>
            </w:r>
          </w:p>
        </w:tc>
        <w:tc>
          <w:tcPr>
            <w:tcW w:w="283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97" w:hRule="atLeast"/>
          <w:jc w:val="center"/>
        </w:trPr>
        <w:tc>
          <w:tcPr>
            <w:tcW w:w="1048"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2010301</w:t>
            </w:r>
          </w:p>
        </w:tc>
        <w:tc>
          <w:tcPr>
            <w:tcW w:w="453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行政运行</w:t>
            </w:r>
          </w:p>
        </w:tc>
        <w:tc>
          <w:tcPr>
            <w:tcW w:w="283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.00</w:t>
            </w:r>
            <w:r>
              <w:rPr>
                <w:rFonts w:ascii="Times New Roman" w:hAnsi="Times New Roman" w:eastAsia="仿宋_GB2312" w:cs="Times New Roman"/>
                <w:kern w:val="0"/>
                <w:szCs w:val="21"/>
              </w:rPr>
              <w:t>　</w:t>
            </w:r>
          </w:p>
        </w:tc>
        <w:tc>
          <w:tcPr>
            <w:tcW w:w="283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.00</w:t>
            </w:r>
            <w:r>
              <w:rPr>
                <w:rFonts w:ascii="Times New Roman" w:hAnsi="Times New Roman" w:eastAsia="仿宋_GB2312" w:cs="Times New Roman"/>
                <w:kern w:val="0"/>
                <w:szCs w:val="21"/>
              </w:rPr>
              <w:t>　</w:t>
            </w:r>
          </w:p>
        </w:tc>
        <w:tc>
          <w:tcPr>
            <w:tcW w:w="283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97" w:hRule="atLeast"/>
          <w:jc w:val="center"/>
        </w:trPr>
        <w:tc>
          <w:tcPr>
            <w:tcW w:w="1048"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2010308</w:t>
            </w:r>
          </w:p>
        </w:tc>
        <w:tc>
          <w:tcPr>
            <w:tcW w:w="453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信访事务</w:t>
            </w:r>
          </w:p>
        </w:tc>
        <w:tc>
          <w:tcPr>
            <w:tcW w:w="283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85.68</w:t>
            </w:r>
            <w:r>
              <w:rPr>
                <w:rFonts w:ascii="Times New Roman" w:hAnsi="Times New Roman" w:eastAsia="仿宋_GB2312" w:cs="Times New Roman"/>
                <w:kern w:val="0"/>
                <w:szCs w:val="21"/>
              </w:rPr>
              <w:t>　</w:t>
            </w:r>
          </w:p>
        </w:tc>
        <w:tc>
          <w:tcPr>
            <w:tcW w:w="283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85.68</w:t>
            </w:r>
            <w:r>
              <w:rPr>
                <w:rFonts w:ascii="Times New Roman" w:hAnsi="Times New Roman" w:eastAsia="仿宋_GB2312" w:cs="Times New Roman"/>
                <w:kern w:val="0"/>
                <w:szCs w:val="21"/>
              </w:rPr>
              <w:t>　</w:t>
            </w:r>
          </w:p>
        </w:tc>
        <w:tc>
          <w:tcPr>
            <w:tcW w:w="283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97" w:hRule="atLeast"/>
          <w:jc w:val="center"/>
        </w:trPr>
        <w:tc>
          <w:tcPr>
            <w:tcW w:w="1048"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20132</w:t>
            </w:r>
          </w:p>
        </w:tc>
        <w:tc>
          <w:tcPr>
            <w:tcW w:w="453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组织事务</w:t>
            </w:r>
          </w:p>
        </w:tc>
        <w:tc>
          <w:tcPr>
            <w:tcW w:w="283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0.7</w:t>
            </w: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83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0.7</w:t>
            </w: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83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97" w:hRule="atLeast"/>
          <w:jc w:val="center"/>
        </w:trPr>
        <w:tc>
          <w:tcPr>
            <w:tcW w:w="1048"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2013299</w:t>
            </w:r>
          </w:p>
        </w:tc>
        <w:tc>
          <w:tcPr>
            <w:tcW w:w="4535"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其他组织事务支出</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0.7</w:t>
            </w: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0.7</w:t>
            </w: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97" w:hRule="atLeast"/>
          <w:jc w:val="center"/>
        </w:trPr>
        <w:tc>
          <w:tcPr>
            <w:tcW w:w="1048"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20199</w:t>
            </w:r>
          </w:p>
        </w:tc>
        <w:tc>
          <w:tcPr>
            <w:tcW w:w="4535"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其他一般公共服务支出</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34.32</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34.32</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397" w:hRule="atLeast"/>
          <w:jc w:val="center"/>
        </w:trPr>
        <w:tc>
          <w:tcPr>
            <w:tcW w:w="1048"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both"/>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2019999</w:t>
            </w:r>
          </w:p>
        </w:tc>
        <w:tc>
          <w:tcPr>
            <w:tcW w:w="4535" w:type="dxa"/>
            <w:tcBorders>
              <w:top w:val="nil"/>
              <w:left w:val="nil"/>
              <w:bottom w:val="single" w:color="auto" w:sz="8" w:space="0"/>
              <w:right w:val="single" w:color="auto" w:sz="4" w:space="0"/>
            </w:tcBorders>
            <w:shd w:val="clear" w:color="auto" w:fill="auto"/>
            <w:vAlign w:val="center"/>
          </w:tcPr>
          <w:p>
            <w:pPr>
              <w:widowControl/>
              <w:ind w:firstLine="210" w:firstLineChars="100"/>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其他一般公共服务支出</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34.32</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34.32</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397" w:hRule="atLeast"/>
          <w:jc w:val="center"/>
        </w:trPr>
        <w:tc>
          <w:tcPr>
            <w:tcW w:w="1048"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both"/>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208</w:t>
            </w:r>
          </w:p>
        </w:tc>
        <w:tc>
          <w:tcPr>
            <w:tcW w:w="4535"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社会保障和就业支出</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587.78</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587.78</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397" w:hRule="atLeast"/>
          <w:jc w:val="center"/>
        </w:trPr>
        <w:tc>
          <w:tcPr>
            <w:tcW w:w="1048"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both"/>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20802</w:t>
            </w:r>
          </w:p>
        </w:tc>
        <w:tc>
          <w:tcPr>
            <w:tcW w:w="4535"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民政管理事务</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13.73</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13.73</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397" w:hRule="atLeast"/>
          <w:jc w:val="center"/>
        </w:trPr>
        <w:tc>
          <w:tcPr>
            <w:tcW w:w="1048"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both"/>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2080201</w:t>
            </w:r>
          </w:p>
        </w:tc>
        <w:tc>
          <w:tcPr>
            <w:tcW w:w="4535" w:type="dxa"/>
            <w:tcBorders>
              <w:top w:val="nil"/>
              <w:left w:val="nil"/>
              <w:bottom w:val="single" w:color="auto" w:sz="8" w:space="0"/>
              <w:right w:val="single" w:color="auto" w:sz="4" w:space="0"/>
            </w:tcBorders>
            <w:shd w:val="clear" w:color="auto" w:fill="auto"/>
            <w:vAlign w:val="center"/>
          </w:tcPr>
          <w:p>
            <w:pPr>
              <w:widowControl/>
              <w:ind w:firstLine="210" w:firstLineChars="100"/>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行政运行</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13.73</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13.73</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397" w:hRule="atLeast"/>
          <w:jc w:val="center"/>
        </w:trPr>
        <w:tc>
          <w:tcPr>
            <w:tcW w:w="1048"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both"/>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20808</w:t>
            </w:r>
          </w:p>
        </w:tc>
        <w:tc>
          <w:tcPr>
            <w:tcW w:w="4535"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抚恤</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50.16</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50.16</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397" w:hRule="atLeast"/>
          <w:jc w:val="center"/>
        </w:trPr>
        <w:tc>
          <w:tcPr>
            <w:tcW w:w="1048"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both"/>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2080803</w:t>
            </w:r>
          </w:p>
        </w:tc>
        <w:tc>
          <w:tcPr>
            <w:tcW w:w="4535" w:type="dxa"/>
            <w:tcBorders>
              <w:top w:val="nil"/>
              <w:left w:val="nil"/>
              <w:bottom w:val="single" w:color="auto" w:sz="8" w:space="0"/>
              <w:right w:val="single" w:color="auto" w:sz="4" w:space="0"/>
            </w:tcBorders>
            <w:shd w:val="clear" w:color="auto" w:fill="auto"/>
            <w:vAlign w:val="center"/>
          </w:tcPr>
          <w:p>
            <w:pPr>
              <w:widowControl/>
              <w:ind w:firstLine="210" w:firstLineChars="100"/>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在乡复员、退伍军人生活补助</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50.16</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50.16</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397" w:hRule="atLeast"/>
          <w:jc w:val="center"/>
        </w:trPr>
        <w:tc>
          <w:tcPr>
            <w:tcW w:w="1048"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both"/>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20828</w:t>
            </w:r>
          </w:p>
        </w:tc>
        <w:tc>
          <w:tcPr>
            <w:tcW w:w="4535"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退役军人管理事务</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402.31</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402.31</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397" w:hRule="atLeast"/>
          <w:jc w:val="center"/>
        </w:trPr>
        <w:tc>
          <w:tcPr>
            <w:tcW w:w="1048"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both"/>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2082801</w:t>
            </w:r>
          </w:p>
        </w:tc>
        <w:tc>
          <w:tcPr>
            <w:tcW w:w="4535"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 xml:space="preserve">  行政运行</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402.31</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402.31</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397" w:hRule="atLeast"/>
          <w:jc w:val="center"/>
        </w:trPr>
        <w:tc>
          <w:tcPr>
            <w:tcW w:w="1048"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both"/>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20899</w:t>
            </w:r>
          </w:p>
        </w:tc>
        <w:tc>
          <w:tcPr>
            <w:tcW w:w="4535"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其他社会保障和就业支出</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121.58</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121.58</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397" w:hRule="atLeast"/>
          <w:jc w:val="center"/>
        </w:trPr>
        <w:tc>
          <w:tcPr>
            <w:tcW w:w="1048"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both"/>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2089901</w:t>
            </w:r>
          </w:p>
        </w:tc>
        <w:tc>
          <w:tcPr>
            <w:tcW w:w="4535"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 xml:space="preserve">  其他社会保障和就业支出</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121.58</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121.58</w:t>
            </w:r>
          </w:p>
        </w:tc>
        <w:tc>
          <w:tcPr>
            <w:tcW w:w="2835"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r>
    </w:tbl>
    <w:p>
      <w:pPr>
        <w:widowControl/>
        <w:ind w:firstLine="840" w:firstLineChars="400"/>
        <w:jc w:val="left"/>
        <w:rPr>
          <w:rFonts w:ascii="Times New Roman" w:hAnsi="Times New Roman" w:eastAsia="仿宋_GB2312" w:cs="Times New Roman"/>
          <w:bCs/>
          <w:kern w:val="0"/>
          <w:szCs w:val="21"/>
        </w:rPr>
      </w:pPr>
      <w:r>
        <w:rPr>
          <w:rFonts w:ascii="Times New Roman" w:hAnsi="Times New Roman" w:eastAsia="仿宋_GB2312" w:cs="Times New Roman"/>
          <w:kern w:val="0"/>
          <w:szCs w:val="21"/>
        </w:rPr>
        <w:t>注：本表反映部门本年度一般公共预算财政拨款支出情况。</w:t>
      </w:r>
      <w:r>
        <w:rPr>
          <w:rFonts w:ascii="Times New Roman" w:hAnsi="Times New Roman" w:eastAsia="仿宋_GB2312" w:cs="Times New Roman"/>
          <w:bCs/>
          <w:kern w:val="0"/>
          <w:szCs w:val="21"/>
        </w:rPr>
        <w:br w:type="page"/>
      </w:r>
    </w:p>
    <w:p>
      <w:pPr>
        <w:widowControl/>
        <w:jc w:val="center"/>
        <w:rPr>
          <w:rFonts w:ascii="Times New Roman" w:hAnsi="Times New Roman" w:eastAsia="方正小标宋_GBK" w:cs="Times New Roman"/>
          <w:color w:val="000000"/>
          <w:kern w:val="0"/>
          <w:sz w:val="28"/>
          <w:szCs w:val="36"/>
        </w:rPr>
      </w:pPr>
      <w:bookmarkStart w:id="1" w:name="RANGE!A1:I39"/>
      <w:r>
        <w:rPr>
          <w:rFonts w:ascii="Times New Roman" w:hAnsi="Times New Roman" w:eastAsia="方正小标宋_GBK" w:cs="Times New Roman"/>
          <w:color w:val="000000"/>
          <w:kern w:val="0"/>
          <w:sz w:val="28"/>
          <w:szCs w:val="36"/>
        </w:rPr>
        <w:t>一般公共预算财政拨款基本支出决算表</w:t>
      </w:r>
      <w:bookmarkEnd w:id="1"/>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洞口县退役军人事务局</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公开06表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5900" w:type="dxa"/>
        <w:tblInd w:w="93" w:type="dxa"/>
        <w:tblLayout w:type="fixed"/>
        <w:tblCellMar>
          <w:top w:w="0" w:type="dxa"/>
          <w:left w:w="108" w:type="dxa"/>
          <w:bottom w:w="0" w:type="dxa"/>
          <w:right w:w="108" w:type="dxa"/>
        </w:tblCellMar>
      </w:tblPr>
      <w:tblGrid>
        <w:gridCol w:w="1149"/>
        <w:gridCol w:w="3306"/>
        <w:gridCol w:w="856"/>
        <w:gridCol w:w="1110"/>
        <w:gridCol w:w="2297"/>
        <w:gridCol w:w="856"/>
        <w:gridCol w:w="1076"/>
        <w:gridCol w:w="4394"/>
        <w:gridCol w:w="856"/>
      </w:tblGrid>
      <w:tr>
        <w:tblPrEx>
          <w:tblLayout w:type="fixed"/>
          <w:tblCellMar>
            <w:top w:w="0" w:type="dxa"/>
            <w:left w:w="108" w:type="dxa"/>
            <w:bottom w:w="0" w:type="dxa"/>
            <w:right w:w="108" w:type="dxa"/>
          </w:tblCellMar>
        </w:tblPrEx>
        <w:trPr>
          <w:trHeight w:val="585" w:hRule="atLeas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330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11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229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07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439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w:t>
            </w:r>
          </w:p>
        </w:tc>
        <w:tc>
          <w:tcPr>
            <w:tcW w:w="330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工资福利支出</w:t>
            </w:r>
          </w:p>
        </w:tc>
        <w:tc>
          <w:tcPr>
            <w:tcW w:w="856" w:type="dxa"/>
            <w:tcBorders>
              <w:top w:val="nil"/>
              <w:left w:val="nil"/>
              <w:bottom w:val="single" w:color="auto" w:sz="8" w:space="0"/>
              <w:right w:val="single" w:color="auto" w:sz="8" w:space="0"/>
            </w:tcBorders>
            <w:shd w:val="clear" w:color="auto" w:fill="auto"/>
          </w:tcPr>
          <w:p>
            <w:pPr>
              <w:widowControl/>
              <w:jc w:val="right"/>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rPr>
              <w:t>164.9</w:t>
            </w:r>
            <w:r>
              <w:rPr>
                <w:rFonts w:hint="eastAsia" w:ascii="仿宋_GB2312" w:hAnsi="宋体" w:eastAsia="仿宋_GB2312" w:cs="宋体"/>
                <w:color w:val="000000"/>
                <w:kern w:val="0"/>
                <w:sz w:val="18"/>
                <w:szCs w:val="18"/>
                <w:lang w:val="en-US" w:eastAsia="zh-CN"/>
              </w:rPr>
              <w:t>2</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w:t>
            </w:r>
          </w:p>
        </w:tc>
        <w:tc>
          <w:tcPr>
            <w:tcW w:w="2297"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商品和服务支出</w:t>
            </w:r>
          </w:p>
        </w:tc>
        <w:tc>
          <w:tcPr>
            <w:tcW w:w="856" w:type="dxa"/>
            <w:tcBorders>
              <w:top w:val="nil"/>
              <w:left w:val="nil"/>
              <w:bottom w:val="single" w:color="auto" w:sz="8" w:space="0"/>
              <w:right w:val="single" w:color="auto" w:sz="8" w:space="0"/>
            </w:tcBorders>
            <w:shd w:val="clear" w:color="auto" w:fill="auto"/>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332.9</w:t>
            </w:r>
            <w:r>
              <w:rPr>
                <w:rFonts w:hint="eastAsia" w:ascii="仿宋_GB2312" w:hAnsi="宋体" w:eastAsia="仿宋_GB2312" w:cs="宋体"/>
                <w:color w:val="000000"/>
                <w:kern w:val="0"/>
                <w:sz w:val="18"/>
                <w:szCs w:val="18"/>
                <w:lang w:val="en-US" w:eastAsia="zh-CN"/>
              </w:rPr>
              <w:t>0</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w:t>
            </w:r>
          </w:p>
        </w:tc>
        <w:tc>
          <w:tcPr>
            <w:tcW w:w="4394"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债务利息及费用支出</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30101</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基本工资</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59.06</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30201</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办公费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15.01</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30701</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国内债务付息</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30102</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津贴补贴</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20.27</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30202</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印刷费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10.12</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30702</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国外债务付息</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30103</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奖金</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46.72</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30203</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咨询费</w:t>
            </w:r>
          </w:p>
        </w:tc>
        <w:tc>
          <w:tcPr>
            <w:tcW w:w="856" w:type="dxa"/>
            <w:tcBorders>
              <w:top w:val="nil"/>
              <w:left w:val="nil"/>
              <w:bottom w:val="single" w:color="auto" w:sz="8" w:space="0"/>
              <w:right w:val="single" w:color="auto" w:sz="8" w:space="0"/>
            </w:tcBorders>
            <w:shd w:val="clear" w:color="auto" w:fill="auto"/>
          </w:tcPr>
          <w:p>
            <w:pPr>
              <w:widowControl/>
              <w:jc w:val="right"/>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3</w:t>
            </w:r>
            <w:r>
              <w:rPr>
                <w:rFonts w:hint="eastAsia" w:ascii="仿宋_GB2312" w:hAnsi="宋体" w:eastAsia="仿宋_GB2312" w:cs="宋体"/>
                <w:color w:val="000000"/>
                <w:kern w:val="0"/>
                <w:sz w:val="18"/>
                <w:szCs w:val="18"/>
                <w:lang w:val="en-US" w:eastAsia="zh-CN"/>
              </w:rPr>
              <w:t>.00</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w:t>
            </w:r>
          </w:p>
        </w:tc>
        <w:tc>
          <w:tcPr>
            <w:tcW w:w="4394"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资本性支出</w:t>
            </w:r>
          </w:p>
        </w:tc>
        <w:tc>
          <w:tcPr>
            <w:tcW w:w="856" w:type="dxa"/>
            <w:tcBorders>
              <w:top w:val="nil"/>
              <w:left w:val="nil"/>
              <w:bottom w:val="single" w:color="auto" w:sz="8" w:space="0"/>
              <w:right w:val="single" w:color="auto" w:sz="8" w:space="0"/>
            </w:tcBorders>
            <w:shd w:val="clear" w:color="auto" w:fill="auto"/>
            <w:vAlign w:val="center"/>
          </w:tcPr>
          <w:p>
            <w:pPr>
              <w:widowControl/>
              <w:jc w:val="right"/>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rPr>
              <w:t>128.7</w:t>
            </w:r>
            <w:r>
              <w:rPr>
                <w:rFonts w:hint="eastAsia" w:ascii="仿宋_GB2312" w:hAnsi="宋体" w:eastAsia="仿宋_GB2312" w:cs="宋体"/>
                <w:color w:val="000000"/>
                <w:kern w:val="0"/>
                <w:sz w:val="18"/>
                <w:szCs w:val="18"/>
                <w:lang w:val="en-US" w:eastAsia="zh-CN"/>
              </w:rPr>
              <w:t>5</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30106</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伙食补助费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0.06</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30204</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手续费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31001</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房屋建筑物购建</w:t>
            </w:r>
          </w:p>
        </w:tc>
        <w:tc>
          <w:tcPr>
            <w:tcW w:w="856" w:type="dxa"/>
            <w:tcBorders>
              <w:top w:val="nil"/>
              <w:left w:val="nil"/>
              <w:bottom w:val="single" w:color="auto" w:sz="8" w:space="0"/>
              <w:right w:val="single" w:color="auto" w:sz="8" w:space="0"/>
            </w:tcBorders>
            <w:shd w:val="clear" w:color="auto" w:fill="auto"/>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30107</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绩效工资</w:t>
            </w:r>
          </w:p>
        </w:tc>
        <w:tc>
          <w:tcPr>
            <w:tcW w:w="856" w:type="dxa"/>
            <w:tcBorders>
              <w:top w:val="nil"/>
              <w:left w:val="nil"/>
              <w:bottom w:val="single" w:color="auto" w:sz="8" w:space="0"/>
              <w:right w:val="single" w:color="auto" w:sz="8" w:space="0"/>
            </w:tcBorders>
            <w:shd w:val="clear" w:color="auto" w:fill="auto"/>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2.4</w:t>
            </w:r>
            <w:r>
              <w:rPr>
                <w:rFonts w:hint="eastAsia" w:ascii="仿宋_GB2312" w:hAnsi="宋体" w:eastAsia="仿宋_GB2312" w:cs="宋体"/>
                <w:color w:val="000000"/>
                <w:kern w:val="0"/>
                <w:sz w:val="18"/>
                <w:szCs w:val="18"/>
                <w:lang w:val="en-US" w:eastAsia="zh-CN"/>
              </w:rPr>
              <w:t>0</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30205</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水费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0.79</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31002</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办公设备购置</w:t>
            </w:r>
          </w:p>
        </w:tc>
        <w:tc>
          <w:tcPr>
            <w:tcW w:w="856" w:type="dxa"/>
            <w:tcBorders>
              <w:top w:val="nil"/>
              <w:left w:val="nil"/>
              <w:bottom w:val="single" w:color="auto" w:sz="8" w:space="0"/>
              <w:right w:val="single" w:color="auto" w:sz="8" w:space="0"/>
            </w:tcBorders>
            <w:shd w:val="clear" w:color="auto" w:fill="auto"/>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121.5</w:t>
            </w: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30108</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机关事业单位基本养老保险费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14.64</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30206</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电费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1.66</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31003</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专用设备购置</w:t>
            </w:r>
          </w:p>
        </w:tc>
        <w:tc>
          <w:tcPr>
            <w:tcW w:w="856" w:type="dxa"/>
            <w:tcBorders>
              <w:top w:val="nil"/>
              <w:left w:val="nil"/>
              <w:bottom w:val="single" w:color="auto" w:sz="8" w:space="0"/>
              <w:right w:val="single" w:color="auto" w:sz="8" w:space="0"/>
            </w:tcBorders>
            <w:shd w:val="clear" w:color="auto" w:fill="auto"/>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30109</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职业年金缴费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30207</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邮电费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3.58</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31005</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基础设施建设</w:t>
            </w:r>
          </w:p>
        </w:tc>
        <w:tc>
          <w:tcPr>
            <w:tcW w:w="856" w:type="dxa"/>
            <w:tcBorders>
              <w:top w:val="nil"/>
              <w:left w:val="nil"/>
              <w:bottom w:val="single" w:color="auto" w:sz="8" w:space="0"/>
              <w:right w:val="single" w:color="auto" w:sz="8" w:space="0"/>
            </w:tcBorders>
            <w:shd w:val="clear" w:color="auto" w:fill="auto"/>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30110</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职工基本医疗保险缴费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7.69</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30208</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取暖费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31006</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大型修缮</w:t>
            </w:r>
          </w:p>
        </w:tc>
        <w:tc>
          <w:tcPr>
            <w:tcW w:w="856" w:type="dxa"/>
            <w:tcBorders>
              <w:top w:val="nil"/>
              <w:left w:val="nil"/>
              <w:bottom w:val="single" w:color="auto" w:sz="8" w:space="0"/>
              <w:right w:val="single" w:color="auto" w:sz="8" w:space="0"/>
            </w:tcBorders>
            <w:shd w:val="clear" w:color="auto" w:fill="auto"/>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30111</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公务员医疗补助缴费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30209</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物业管理费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31007</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信息网络及软件购置更新</w:t>
            </w:r>
          </w:p>
        </w:tc>
        <w:tc>
          <w:tcPr>
            <w:tcW w:w="856" w:type="dxa"/>
            <w:tcBorders>
              <w:top w:val="nil"/>
              <w:left w:val="nil"/>
              <w:bottom w:val="single" w:color="auto" w:sz="8" w:space="0"/>
              <w:right w:val="single" w:color="auto" w:sz="8" w:space="0"/>
            </w:tcBorders>
            <w:shd w:val="clear" w:color="auto" w:fill="auto"/>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7.18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30112</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其他社会保障缴费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1.57</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30211</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差旅费</w:t>
            </w:r>
          </w:p>
        </w:tc>
        <w:tc>
          <w:tcPr>
            <w:tcW w:w="856" w:type="dxa"/>
            <w:tcBorders>
              <w:top w:val="nil"/>
              <w:left w:val="nil"/>
              <w:bottom w:val="single" w:color="auto" w:sz="8" w:space="0"/>
              <w:right w:val="single" w:color="auto" w:sz="8" w:space="0"/>
            </w:tcBorders>
            <w:shd w:val="clear" w:color="auto" w:fill="auto"/>
          </w:tcPr>
          <w:p>
            <w:pPr>
              <w:widowControl/>
              <w:jc w:val="right"/>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131</w:t>
            </w:r>
            <w:r>
              <w:rPr>
                <w:rFonts w:hint="eastAsia" w:ascii="仿宋_GB2312" w:hAnsi="宋体" w:eastAsia="仿宋_GB2312" w:cs="宋体"/>
                <w:color w:val="000000"/>
                <w:kern w:val="0"/>
                <w:sz w:val="18"/>
                <w:szCs w:val="18"/>
                <w:lang w:val="en-US" w:eastAsia="zh-CN"/>
              </w:rPr>
              <w:t>.00</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31008</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物资储备</w:t>
            </w:r>
          </w:p>
        </w:tc>
        <w:tc>
          <w:tcPr>
            <w:tcW w:w="856" w:type="dxa"/>
            <w:tcBorders>
              <w:top w:val="nil"/>
              <w:left w:val="nil"/>
              <w:bottom w:val="single" w:color="auto" w:sz="8" w:space="0"/>
              <w:right w:val="single" w:color="auto" w:sz="8" w:space="0"/>
            </w:tcBorders>
            <w:shd w:val="clear" w:color="auto" w:fill="auto"/>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30113</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住房公积金</w:t>
            </w:r>
          </w:p>
        </w:tc>
        <w:tc>
          <w:tcPr>
            <w:tcW w:w="856" w:type="dxa"/>
            <w:tcBorders>
              <w:top w:val="nil"/>
              <w:left w:val="nil"/>
              <w:bottom w:val="single" w:color="auto" w:sz="8" w:space="0"/>
              <w:right w:val="single" w:color="auto" w:sz="8" w:space="0"/>
            </w:tcBorders>
            <w:shd w:val="clear" w:color="auto" w:fill="auto"/>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12.5</w:t>
            </w:r>
            <w:r>
              <w:rPr>
                <w:rFonts w:hint="eastAsia" w:ascii="仿宋_GB2312" w:hAnsi="宋体" w:eastAsia="仿宋_GB2312" w:cs="宋体"/>
                <w:color w:val="000000"/>
                <w:kern w:val="0"/>
                <w:sz w:val="18"/>
                <w:szCs w:val="18"/>
                <w:lang w:val="en-US" w:eastAsia="zh-CN"/>
              </w:rPr>
              <w:t>0</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30212</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因公出国（境）费用</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31009</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土地补偿</w:t>
            </w:r>
          </w:p>
        </w:tc>
        <w:tc>
          <w:tcPr>
            <w:tcW w:w="856" w:type="dxa"/>
            <w:tcBorders>
              <w:top w:val="nil"/>
              <w:left w:val="nil"/>
              <w:bottom w:val="single" w:color="auto" w:sz="8" w:space="0"/>
              <w:right w:val="single" w:color="auto" w:sz="8" w:space="0"/>
            </w:tcBorders>
            <w:shd w:val="clear" w:color="auto" w:fill="auto"/>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30114</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医疗费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30213</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维修（护）费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40.08</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31010</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安置补助</w:t>
            </w:r>
          </w:p>
        </w:tc>
        <w:tc>
          <w:tcPr>
            <w:tcW w:w="856" w:type="dxa"/>
            <w:tcBorders>
              <w:top w:val="nil"/>
              <w:left w:val="nil"/>
              <w:bottom w:val="single" w:color="auto" w:sz="8" w:space="0"/>
              <w:right w:val="single" w:color="auto" w:sz="8" w:space="0"/>
            </w:tcBorders>
            <w:shd w:val="clear" w:color="auto" w:fill="auto"/>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30199</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其他工资福利支出</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30214</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租赁费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31011</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地上附着物和青苗补偿</w:t>
            </w:r>
          </w:p>
        </w:tc>
        <w:tc>
          <w:tcPr>
            <w:tcW w:w="856" w:type="dxa"/>
            <w:tcBorders>
              <w:top w:val="nil"/>
              <w:left w:val="nil"/>
              <w:bottom w:val="single" w:color="auto" w:sz="8" w:space="0"/>
              <w:right w:val="single" w:color="auto" w:sz="8" w:space="0"/>
            </w:tcBorders>
            <w:shd w:val="clear" w:color="auto" w:fill="auto"/>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w:t>
            </w:r>
          </w:p>
        </w:tc>
        <w:tc>
          <w:tcPr>
            <w:tcW w:w="330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对个人和家庭的补助</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101.91</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30215</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会议费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1.37</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31012</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拆迁补偿</w:t>
            </w:r>
          </w:p>
        </w:tc>
        <w:tc>
          <w:tcPr>
            <w:tcW w:w="856" w:type="dxa"/>
            <w:tcBorders>
              <w:top w:val="nil"/>
              <w:left w:val="nil"/>
              <w:bottom w:val="single" w:color="auto" w:sz="8" w:space="0"/>
              <w:right w:val="single" w:color="auto" w:sz="8" w:space="0"/>
            </w:tcBorders>
            <w:shd w:val="clear" w:color="auto" w:fill="auto"/>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30301</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离休费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30216</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培训费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1.29</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31013</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公务用车购置</w:t>
            </w:r>
          </w:p>
        </w:tc>
        <w:tc>
          <w:tcPr>
            <w:tcW w:w="856" w:type="dxa"/>
            <w:tcBorders>
              <w:top w:val="nil"/>
              <w:left w:val="nil"/>
              <w:bottom w:val="single" w:color="auto" w:sz="8" w:space="0"/>
              <w:right w:val="single" w:color="auto" w:sz="8" w:space="0"/>
            </w:tcBorders>
            <w:shd w:val="clear" w:color="auto" w:fill="auto"/>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30302</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退休费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30217</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公务接待费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1.93</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31019</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其他交通工具购置</w:t>
            </w:r>
          </w:p>
        </w:tc>
        <w:tc>
          <w:tcPr>
            <w:tcW w:w="856" w:type="dxa"/>
            <w:tcBorders>
              <w:top w:val="nil"/>
              <w:left w:val="nil"/>
              <w:bottom w:val="single" w:color="auto" w:sz="8" w:space="0"/>
              <w:right w:val="single" w:color="auto" w:sz="8" w:space="0"/>
            </w:tcBorders>
            <w:shd w:val="clear" w:color="auto" w:fill="auto"/>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30303</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退职（役）费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30218</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专用材料费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103.28</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31021</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文物和陈列品购置</w:t>
            </w:r>
          </w:p>
        </w:tc>
        <w:tc>
          <w:tcPr>
            <w:tcW w:w="856" w:type="dxa"/>
            <w:tcBorders>
              <w:top w:val="nil"/>
              <w:left w:val="nil"/>
              <w:bottom w:val="single" w:color="auto" w:sz="8" w:space="0"/>
              <w:right w:val="single" w:color="auto" w:sz="8" w:space="0"/>
            </w:tcBorders>
            <w:shd w:val="clear" w:color="auto" w:fill="auto"/>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30304</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抚恤金</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30224</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被装购置费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31022</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无形资产购置</w:t>
            </w:r>
          </w:p>
        </w:tc>
        <w:tc>
          <w:tcPr>
            <w:tcW w:w="856" w:type="dxa"/>
            <w:tcBorders>
              <w:top w:val="nil"/>
              <w:left w:val="nil"/>
              <w:bottom w:val="single" w:color="auto" w:sz="8" w:space="0"/>
              <w:right w:val="single" w:color="auto" w:sz="8" w:space="0"/>
            </w:tcBorders>
            <w:shd w:val="clear" w:color="auto" w:fill="auto"/>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30305</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生活补助</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101.91</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30225</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专用燃料费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31099</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其他资本性支出</w:t>
            </w:r>
          </w:p>
        </w:tc>
        <w:tc>
          <w:tcPr>
            <w:tcW w:w="856" w:type="dxa"/>
            <w:tcBorders>
              <w:top w:val="nil"/>
              <w:left w:val="nil"/>
              <w:bottom w:val="single" w:color="auto" w:sz="8" w:space="0"/>
              <w:right w:val="single" w:color="auto" w:sz="8" w:space="0"/>
            </w:tcBorders>
            <w:shd w:val="clear" w:color="auto" w:fill="auto"/>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30306</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救济费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30226</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劳务费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6.46</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w:t>
            </w:r>
          </w:p>
        </w:tc>
        <w:tc>
          <w:tcPr>
            <w:tcW w:w="4394"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其他支出</w:t>
            </w:r>
          </w:p>
        </w:tc>
        <w:tc>
          <w:tcPr>
            <w:tcW w:w="856" w:type="dxa"/>
            <w:tcBorders>
              <w:top w:val="nil"/>
              <w:left w:val="nil"/>
              <w:bottom w:val="single" w:color="auto" w:sz="8" w:space="0"/>
              <w:right w:val="single" w:color="auto" w:sz="8" w:space="0"/>
            </w:tcBorders>
            <w:shd w:val="clear" w:color="auto" w:fill="auto"/>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30307</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医疗费补助</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30227</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委托业务费</w:t>
            </w:r>
          </w:p>
        </w:tc>
        <w:tc>
          <w:tcPr>
            <w:tcW w:w="856" w:type="dxa"/>
            <w:tcBorders>
              <w:top w:val="nil"/>
              <w:left w:val="nil"/>
              <w:bottom w:val="single" w:color="auto" w:sz="8" w:space="0"/>
              <w:right w:val="single" w:color="auto" w:sz="8" w:space="0"/>
            </w:tcBorders>
            <w:shd w:val="clear" w:color="auto" w:fill="auto"/>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2.2</w:t>
            </w:r>
            <w:r>
              <w:rPr>
                <w:rFonts w:hint="eastAsia" w:ascii="仿宋_GB2312" w:hAnsi="宋体" w:eastAsia="仿宋_GB2312" w:cs="宋体"/>
                <w:color w:val="000000"/>
                <w:kern w:val="0"/>
                <w:sz w:val="18"/>
                <w:szCs w:val="18"/>
                <w:lang w:val="en-US" w:eastAsia="zh-CN"/>
              </w:rPr>
              <w:t>0</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39906</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赠与</w:t>
            </w:r>
          </w:p>
        </w:tc>
        <w:tc>
          <w:tcPr>
            <w:tcW w:w="856" w:type="dxa"/>
            <w:tcBorders>
              <w:top w:val="nil"/>
              <w:left w:val="nil"/>
              <w:bottom w:val="single" w:color="auto" w:sz="8" w:space="0"/>
              <w:right w:val="single" w:color="auto" w:sz="8" w:space="0"/>
            </w:tcBorders>
            <w:shd w:val="clear" w:color="auto" w:fill="auto"/>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30308</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助学金</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30228</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工会经费</w:t>
            </w:r>
          </w:p>
        </w:tc>
        <w:tc>
          <w:tcPr>
            <w:tcW w:w="856" w:type="dxa"/>
            <w:tcBorders>
              <w:top w:val="nil"/>
              <w:left w:val="nil"/>
              <w:bottom w:val="single" w:color="auto" w:sz="8" w:space="0"/>
              <w:right w:val="single" w:color="auto" w:sz="8" w:space="0"/>
            </w:tcBorders>
            <w:shd w:val="clear" w:color="auto" w:fill="auto"/>
          </w:tcPr>
          <w:p>
            <w:pPr>
              <w:widowControl/>
              <w:jc w:val="right"/>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5.00</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39907</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国家赔偿费用支出</w:t>
            </w:r>
          </w:p>
        </w:tc>
        <w:tc>
          <w:tcPr>
            <w:tcW w:w="856" w:type="dxa"/>
            <w:tcBorders>
              <w:top w:val="nil"/>
              <w:left w:val="nil"/>
              <w:bottom w:val="single" w:color="auto" w:sz="8" w:space="0"/>
              <w:right w:val="single" w:color="auto" w:sz="8" w:space="0"/>
            </w:tcBorders>
            <w:shd w:val="clear" w:color="auto" w:fill="auto"/>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30309</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奖励金</w:t>
            </w:r>
          </w:p>
        </w:tc>
        <w:tc>
          <w:tcPr>
            <w:tcW w:w="856" w:type="dxa"/>
            <w:tcBorders>
              <w:top w:val="nil"/>
              <w:left w:val="nil"/>
              <w:bottom w:val="single" w:color="auto" w:sz="8" w:space="0"/>
              <w:right w:val="single" w:color="auto" w:sz="8" w:space="0"/>
            </w:tcBorders>
            <w:shd w:val="clear" w:color="auto" w:fill="auto"/>
          </w:tcPr>
          <w:p>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30229</w:t>
            </w:r>
          </w:p>
        </w:tc>
        <w:tc>
          <w:tcPr>
            <w:tcW w:w="2297"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福利费</w:t>
            </w:r>
          </w:p>
        </w:tc>
        <w:tc>
          <w:tcPr>
            <w:tcW w:w="856" w:type="dxa"/>
            <w:tcBorders>
              <w:top w:val="nil"/>
              <w:left w:val="nil"/>
              <w:bottom w:val="single" w:color="auto" w:sz="8" w:space="0"/>
              <w:right w:val="single" w:color="auto" w:sz="8" w:space="0"/>
            </w:tcBorders>
            <w:shd w:val="clear" w:color="auto" w:fill="auto"/>
          </w:tcPr>
          <w:p>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39908</w:t>
            </w:r>
          </w:p>
        </w:tc>
        <w:tc>
          <w:tcPr>
            <w:tcW w:w="4394"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对民间非营利组织和群众性自治组织补贴</w:t>
            </w:r>
          </w:p>
        </w:tc>
        <w:tc>
          <w:tcPr>
            <w:tcW w:w="856" w:type="dxa"/>
            <w:tcBorders>
              <w:top w:val="nil"/>
              <w:left w:val="nil"/>
              <w:bottom w:val="single" w:color="auto" w:sz="8" w:space="0"/>
              <w:right w:val="single" w:color="auto" w:sz="8" w:space="0"/>
            </w:tcBorders>
            <w:shd w:val="clear" w:color="auto" w:fill="auto"/>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30310</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个人农业生产补贴</w:t>
            </w:r>
          </w:p>
        </w:tc>
        <w:tc>
          <w:tcPr>
            <w:tcW w:w="856" w:type="dxa"/>
            <w:tcBorders>
              <w:top w:val="nil"/>
              <w:left w:val="nil"/>
              <w:bottom w:val="single" w:color="auto" w:sz="8" w:space="0"/>
              <w:right w:val="single" w:color="auto" w:sz="8" w:space="0"/>
            </w:tcBorders>
            <w:shd w:val="clear" w:color="auto" w:fill="auto"/>
          </w:tcPr>
          <w:p>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30231</w:t>
            </w:r>
          </w:p>
        </w:tc>
        <w:tc>
          <w:tcPr>
            <w:tcW w:w="2297"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公务用车运行维护费</w:t>
            </w:r>
          </w:p>
        </w:tc>
        <w:tc>
          <w:tcPr>
            <w:tcW w:w="856" w:type="dxa"/>
            <w:tcBorders>
              <w:top w:val="nil"/>
              <w:left w:val="nil"/>
              <w:bottom w:val="single" w:color="auto" w:sz="8" w:space="0"/>
              <w:right w:val="single" w:color="auto" w:sz="8" w:space="0"/>
            </w:tcBorders>
            <w:shd w:val="clear" w:color="auto" w:fill="auto"/>
          </w:tcPr>
          <w:p>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39999</w:t>
            </w:r>
          </w:p>
        </w:tc>
        <w:tc>
          <w:tcPr>
            <w:tcW w:w="4394"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其他支出</w:t>
            </w:r>
          </w:p>
        </w:tc>
        <w:tc>
          <w:tcPr>
            <w:tcW w:w="856" w:type="dxa"/>
            <w:tcBorders>
              <w:top w:val="nil"/>
              <w:left w:val="nil"/>
              <w:bottom w:val="single" w:color="auto" w:sz="8" w:space="0"/>
              <w:right w:val="single" w:color="auto" w:sz="8" w:space="0"/>
            </w:tcBorders>
            <w:shd w:val="clear" w:color="auto" w:fill="auto"/>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30399</w:t>
            </w:r>
          </w:p>
        </w:tc>
        <w:tc>
          <w:tcPr>
            <w:tcW w:w="3306" w:type="dxa"/>
            <w:tcBorders>
              <w:top w:val="single" w:color="auto" w:sz="8" w:space="0"/>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对其他个人和家庭的补助支出</w:t>
            </w:r>
          </w:p>
        </w:tc>
        <w:tc>
          <w:tcPr>
            <w:tcW w:w="856" w:type="dxa"/>
            <w:tcBorders>
              <w:top w:val="single" w:color="auto" w:sz="8" w:space="0"/>
              <w:left w:val="nil"/>
              <w:bottom w:val="single" w:color="auto" w:sz="8" w:space="0"/>
              <w:right w:val="single" w:color="auto" w:sz="8" w:space="0"/>
            </w:tcBorders>
            <w:shd w:val="clear" w:color="auto" w:fill="auto"/>
          </w:tcPr>
          <w:p>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single" w:color="auto" w:sz="8" w:space="0"/>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30239</w:t>
            </w:r>
          </w:p>
        </w:tc>
        <w:tc>
          <w:tcPr>
            <w:tcW w:w="2297" w:type="dxa"/>
            <w:tcBorders>
              <w:top w:val="single" w:color="auto" w:sz="8" w:space="0"/>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其他交通费用</w:t>
            </w:r>
          </w:p>
        </w:tc>
        <w:tc>
          <w:tcPr>
            <w:tcW w:w="856" w:type="dxa"/>
            <w:tcBorders>
              <w:top w:val="single" w:color="auto" w:sz="8" w:space="0"/>
              <w:left w:val="nil"/>
              <w:bottom w:val="single" w:color="auto" w:sz="8" w:space="0"/>
              <w:right w:val="single" w:color="auto" w:sz="8" w:space="0"/>
            </w:tcBorders>
            <w:shd w:val="clear" w:color="auto" w:fill="auto"/>
          </w:tcPr>
          <w:p>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r>
              <w:rPr>
                <w:rFonts w:hint="eastAsia" w:ascii="Times New Roman" w:hAnsi="Times New Roman" w:eastAsia="宋体" w:cs="Times New Roman"/>
                <w:color w:val="000000"/>
                <w:kern w:val="0"/>
                <w:sz w:val="18"/>
                <w:szCs w:val="18"/>
              </w:rPr>
              <w:t>4.52</w:t>
            </w:r>
          </w:p>
        </w:tc>
        <w:tc>
          <w:tcPr>
            <w:tcW w:w="1076" w:type="dxa"/>
            <w:tcBorders>
              <w:top w:val="single" w:color="auto" w:sz="8" w:space="0"/>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single" w:color="auto" w:sz="8" w:space="0"/>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6" w:type="dxa"/>
            <w:tcBorders>
              <w:top w:val="nil"/>
              <w:left w:val="nil"/>
              <w:bottom w:val="single" w:color="auto" w:sz="8" w:space="0"/>
              <w:right w:val="single" w:color="auto" w:sz="8" w:space="0"/>
            </w:tcBorders>
            <w:shd w:val="clear" w:color="auto" w:fill="auto"/>
          </w:tcPr>
          <w:p>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30240</w:t>
            </w:r>
          </w:p>
        </w:tc>
        <w:tc>
          <w:tcPr>
            <w:tcW w:w="2297"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税金及附加费用</w:t>
            </w:r>
          </w:p>
        </w:tc>
        <w:tc>
          <w:tcPr>
            <w:tcW w:w="856" w:type="dxa"/>
            <w:tcBorders>
              <w:top w:val="nil"/>
              <w:left w:val="nil"/>
              <w:bottom w:val="single" w:color="auto" w:sz="8" w:space="0"/>
              <w:right w:val="single" w:color="auto" w:sz="8" w:space="0"/>
            </w:tcBorders>
            <w:shd w:val="clear" w:color="auto" w:fill="auto"/>
          </w:tcPr>
          <w:p>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shd w:val="clear" w:color="auto" w:fill="auto"/>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6" w:type="dxa"/>
            <w:tcBorders>
              <w:top w:val="nil"/>
              <w:left w:val="nil"/>
              <w:bottom w:val="single" w:color="auto" w:sz="8" w:space="0"/>
              <w:right w:val="single" w:color="auto" w:sz="8" w:space="0"/>
            </w:tcBorders>
            <w:shd w:val="clear" w:color="auto" w:fill="auto"/>
          </w:tcPr>
          <w:p>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30299</w:t>
            </w:r>
          </w:p>
        </w:tc>
        <w:tc>
          <w:tcPr>
            <w:tcW w:w="2297"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其他商品和服务支出</w:t>
            </w:r>
          </w:p>
        </w:tc>
        <w:tc>
          <w:tcPr>
            <w:tcW w:w="856" w:type="dxa"/>
            <w:tcBorders>
              <w:top w:val="nil"/>
              <w:left w:val="nil"/>
              <w:bottom w:val="single" w:color="auto" w:sz="8" w:space="0"/>
              <w:right w:val="single" w:color="auto" w:sz="8" w:space="0"/>
            </w:tcBorders>
            <w:shd w:val="clear" w:color="auto" w:fill="auto"/>
          </w:tcPr>
          <w:p>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r>
              <w:rPr>
                <w:rFonts w:hint="eastAsia" w:ascii="Times New Roman" w:hAnsi="Times New Roman" w:eastAsia="宋体" w:cs="Times New Roman"/>
                <w:color w:val="000000"/>
                <w:kern w:val="0"/>
                <w:sz w:val="18"/>
                <w:szCs w:val="18"/>
              </w:rPr>
              <w:t>1.62</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shd w:val="clear" w:color="auto" w:fill="auto"/>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4455" w:type="dxa"/>
            <w:gridSpan w:val="2"/>
            <w:tcBorders>
              <w:top w:val="nil"/>
              <w:left w:val="single" w:color="auto" w:sz="8" w:space="0"/>
              <w:bottom w:val="single" w:color="auto" w:sz="8" w:space="0"/>
              <w:right w:val="single" w:color="auto" w:sz="8" w:space="0"/>
            </w:tcBorders>
            <w:shd w:val="clear" w:color="auto" w:fill="auto"/>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人员经费合计</w:t>
            </w:r>
          </w:p>
        </w:tc>
        <w:tc>
          <w:tcPr>
            <w:tcW w:w="856" w:type="dxa"/>
            <w:tcBorders>
              <w:top w:val="nil"/>
              <w:left w:val="nil"/>
              <w:bottom w:val="single" w:color="auto" w:sz="8" w:space="0"/>
              <w:right w:val="single" w:color="auto" w:sz="8" w:space="0"/>
            </w:tcBorders>
            <w:shd w:val="clear" w:color="auto" w:fill="auto"/>
            <w:vAlign w:val="center"/>
          </w:tcPr>
          <w:p>
            <w:pPr>
              <w:widowControl/>
              <w:jc w:val="right"/>
              <w:rPr>
                <w:rFonts w:hint="eastAsia" w:ascii="Times New Roman" w:hAnsi="Times New Roman" w:eastAsia="宋体" w:cs="Times New Roman"/>
                <w:color w:val="000000"/>
                <w:kern w:val="0"/>
                <w:sz w:val="18"/>
                <w:szCs w:val="18"/>
                <w:lang w:eastAsia="zh-CN"/>
              </w:rPr>
            </w:pPr>
            <w:r>
              <w:rPr>
                <w:rFonts w:hint="eastAsia" w:ascii="Times New Roman" w:hAnsi="Times New Roman" w:eastAsia="宋体" w:cs="Times New Roman"/>
                <w:color w:val="000000"/>
                <w:kern w:val="0"/>
                <w:sz w:val="18"/>
                <w:szCs w:val="18"/>
              </w:rPr>
              <w:t>266.8</w:t>
            </w:r>
            <w:r>
              <w:rPr>
                <w:rFonts w:hint="eastAsia" w:ascii="Times New Roman" w:hAnsi="Times New Roman" w:eastAsia="宋体" w:cs="Times New Roman"/>
                <w:color w:val="000000"/>
                <w:kern w:val="0"/>
                <w:sz w:val="18"/>
                <w:szCs w:val="18"/>
                <w:lang w:val="en-US" w:eastAsia="zh-CN"/>
              </w:rPr>
              <w:t>3</w:t>
            </w:r>
          </w:p>
        </w:tc>
        <w:tc>
          <w:tcPr>
            <w:tcW w:w="9733" w:type="dxa"/>
            <w:gridSpan w:val="5"/>
            <w:tcBorders>
              <w:top w:val="nil"/>
              <w:left w:val="nil"/>
              <w:bottom w:val="single" w:color="auto" w:sz="8" w:space="0"/>
              <w:right w:val="single" w:color="auto" w:sz="8" w:space="0"/>
            </w:tcBorders>
            <w:shd w:val="clear" w:color="auto" w:fill="auto"/>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公用经费合计</w:t>
            </w:r>
          </w:p>
        </w:tc>
        <w:tc>
          <w:tcPr>
            <w:tcW w:w="856" w:type="dxa"/>
            <w:tcBorders>
              <w:top w:val="nil"/>
              <w:left w:val="nil"/>
              <w:bottom w:val="single" w:color="auto" w:sz="8" w:space="0"/>
              <w:right w:val="single" w:color="auto" w:sz="8" w:space="0"/>
            </w:tcBorders>
            <w:shd w:val="clear" w:color="auto" w:fill="auto"/>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461.65</w:t>
            </w:r>
          </w:p>
        </w:tc>
      </w:tr>
    </w:tbl>
    <w:p>
      <w:pPr>
        <w:widowControl/>
        <w:jc w:val="left"/>
        <w:rPr>
          <w:rFonts w:ascii="黑体" w:hAnsi="黑体" w:eastAsia="黑体"/>
          <w:szCs w:val="21"/>
        </w:rPr>
      </w:pPr>
      <w:r>
        <w:rPr>
          <w:rFonts w:hint="eastAsia" w:ascii="黑体" w:hAnsi="黑体" w:eastAsia="黑体"/>
          <w:szCs w:val="21"/>
        </w:rPr>
        <w:t>注：本表反映部门年度一般公共预算财政拨款基本支出明细情况。</w:t>
      </w:r>
      <w:r>
        <w:rPr>
          <w:rFonts w:ascii="黑体" w:hAnsi="黑体" w:eastAsia="黑体"/>
          <w:szCs w:val="21"/>
        </w:rPr>
        <w:br w:type="page"/>
      </w: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firstLine="210" w:firstLineChars="1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洞口县退役军人事务局</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4640" w:type="dxa"/>
        <w:jc w:val="center"/>
        <w:tblInd w:w="0" w:type="dxa"/>
        <w:tblLayout w:type="fixed"/>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Layout w:type="fixed"/>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Layout w:type="fixed"/>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Layout w:type="fixed"/>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Layout w:type="fixed"/>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1.93</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1.93</w:t>
            </w:r>
          </w:p>
        </w:tc>
      </w:tr>
    </w:tbl>
    <w:p>
      <w:pPr>
        <w:autoSpaceDE w:val="0"/>
        <w:autoSpaceDN w:val="0"/>
        <w:adjustRightInd w:val="0"/>
        <w:ind w:left="315" w:leftChars="150"/>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宋体" w:eastAsia="宋体" w:cs="宋体"/>
          <w:kern w:val="0"/>
          <w:sz w:val="24"/>
          <w:szCs w:val="24"/>
        </w:rPr>
      </w:pP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444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p>
    <w:p>
      <w:pPr>
        <w:pStyle w:val="11"/>
        <w:rPr>
          <w:sz w:val="72"/>
          <w:szCs w:val="72"/>
        </w:rPr>
        <w:sectPr>
          <w:pgSz w:w="16838" w:h="11906" w:orient="landscape"/>
          <w:pgMar w:top="720" w:right="720" w:bottom="720" w:left="720" w:header="851" w:footer="992" w:gutter="0"/>
          <w:cols w:space="425" w:num="1"/>
          <w:docGrid w:type="lines" w:linePitch="312" w:charSpace="0"/>
        </w:sectPr>
      </w:pP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2019</w:t>
      </w:r>
      <w:r>
        <w:rPr>
          <w:rFonts w:hint="eastAsia"/>
          <w:sz w:val="70"/>
          <w:szCs w:val="70"/>
        </w:rPr>
        <w:t>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hAnsi="黑体"/>
          <w:b/>
          <w:sz w:val="32"/>
          <w:szCs w:val="32"/>
        </w:rPr>
      </w:pPr>
      <w:r>
        <w:rPr>
          <w:rFonts w:hint="eastAsia" w:hAnsi="黑体"/>
          <w:b/>
          <w:sz w:val="32"/>
          <w:szCs w:val="32"/>
        </w:rPr>
        <w:t>一、收入支出决算总体情况说明</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2019 年度收</w:t>
      </w:r>
      <w:r>
        <w:rPr>
          <w:rFonts w:hint="eastAsia" w:asciiTheme="minorEastAsia" w:hAnsiTheme="minorEastAsia"/>
          <w:sz w:val="32"/>
          <w:szCs w:val="32"/>
          <w:lang w:eastAsia="zh-CN"/>
        </w:rPr>
        <w:t>入</w:t>
      </w:r>
      <w:r>
        <w:rPr>
          <w:rFonts w:hint="eastAsia" w:asciiTheme="minorEastAsia" w:hAnsiTheme="minorEastAsia" w:eastAsiaTheme="minorEastAsia"/>
          <w:sz w:val="32"/>
          <w:szCs w:val="32"/>
          <w:lang w:val="en-US" w:eastAsia="zh-CN"/>
        </w:rPr>
        <w:t>728.48</w:t>
      </w:r>
      <w:r>
        <w:rPr>
          <w:rFonts w:hint="default" w:asciiTheme="minorEastAsia" w:hAnsiTheme="minorEastAsia" w:eastAsiaTheme="minorEastAsia"/>
          <w:sz w:val="32"/>
          <w:szCs w:val="32"/>
          <w:lang w:val="en-US" w:eastAsia="zh-CN"/>
        </w:rPr>
        <w:t>万元</w:t>
      </w:r>
      <w:r>
        <w:rPr>
          <w:rFonts w:hint="eastAsia" w:asciiTheme="minorEastAsia" w:hAnsiTheme="minorEastAsia" w:eastAsiaTheme="minorEastAsia"/>
          <w:sz w:val="32"/>
          <w:szCs w:val="32"/>
          <w:lang w:val="en-US" w:eastAsia="zh-CN"/>
        </w:rPr>
        <w:t>、</w:t>
      </w:r>
      <w:r>
        <w:rPr>
          <w:rFonts w:hint="default" w:asciiTheme="minorEastAsia" w:hAnsiTheme="minorEastAsia" w:eastAsiaTheme="minorEastAsia"/>
          <w:sz w:val="32"/>
          <w:szCs w:val="32"/>
          <w:lang w:val="en-US" w:eastAsia="zh-CN"/>
        </w:rPr>
        <w:t>支出</w:t>
      </w:r>
      <w:r>
        <w:rPr>
          <w:rFonts w:hint="eastAsia" w:asciiTheme="minorEastAsia" w:hAnsiTheme="minorEastAsia" w:eastAsiaTheme="minorEastAsia"/>
          <w:sz w:val="32"/>
          <w:szCs w:val="32"/>
          <w:lang w:val="en-US" w:eastAsia="zh-CN"/>
        </w:rPr>
        <w:t>728.48</w:t>
      </w:r>
      <w:r>
        <w:rPr>
          <w:rFonts w:hint="default" w:asciiTheme="minorEastAsia" w:hAnsiTheme="minorEastAsia" w:eastAsiaTheme="minorEastAsia"/>
          <w:sz w:val="32"/>
          <w:szCs w:val="32"/>
          <w:lang w:val="en-US" w:eastAsia="zh-CN"/>
        </w:rPr>
        <w:t>万元，</w:t>
      </w:r>
      <w:r>
        <w:rPr>
          <w:rFonts w:hint="eastAsia" w:asciiTheme="minorEastAsia" w:hAnsiTheme="minorEastAsia" w:eastAsiaTheme="minorEastAsia"/>
          <w:sz w:val="32"/>
          <w:szCs w:val="32"/>
          <w:lang w:val="en-US" w:eastAsia="zh-CN"/>
        </w:rPr>
        <w:t>因本单位为2019年新成立单位，</w:t>
      </w:r>
      <w:r>
        <w:rPr>
          <w:rFonts w:hint="eastAsia" w:asciiTheme="minorEastAsia" w:hAnsiTheme="minorEastAsia" w:eastAsiaTheme="minorEastAsia"/>
          <w:sz w:val="32"/>
          <w:szCs w:val="32"/>
        </w:rPr>
        <w:t>与2018年</w:t>
      </w:r>
      <w:r>
        <w:rPr>
          <w:rFonts w:hint="eastAsia" w:asciiTheme="minorEastAsia" w:hAnsiTheme="minorEastAsia" w:eastAsiaTheme="minorEastAsia"/>
          <w:sz w:val="32"/>
          <w:szCs w:val="32"/>
          <w:lang w:eastAsia="zh-CN"/>
        </w:rPr>
        <w:t>不可</w:t>
      </w:r>
      <w:r>
        <w:rPr>
          <w:rFonts w:hint="eastAsia" w:asciiTheme="minorEastAsia" w:hAnsiTheme="minorEastAsia" w:eastAsiaTheme="minorEastAsia"/>
          <w:sz w:val="32"/>
          <w:szCs w:val="32"/>
        </w:rPr>
        <w:t>比</w:t>
      </w:r>
      <w:r>
        <w:rPr>
          <w:rFonts w:hint="eastAsia" w:asciiTheme="minorEastAsia" w:hAnsiTheme="minorEastAsia" w:eastAsiaTheme="minorEastAsia"/>
          <w:sz w:val="32"/>
          <w:szCs w:val="32"/>
          <w:lang w:eastAsia="zh-CN"/>
        </w:rPr>
        <w:t>。</w:t>
      </w:r>
    </w:p>
    <w:p>
      <w:pPr>
        <w:pStyle w:val="11"/>
        <w:rPr>
          <w:rFonts w:hAnsi="黑体"/>
          <w:b/>
          <w:sz w:val="32"/>
          <w:szCs w:val="32"/>
        </w:rPr>
      </w:pPr>
      <w:r>
        <w:rPr>
          <w:rFonts w:hint="eastAsia" w:hAnsi="黑体"/>
          <w:b/>
          <w:sz w:val="32"/>
          <w:szCs w:val="32"/>
        </w:rPr>
        <w:t>二、收入决算情况说明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728.48</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728.48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三、支出决算情况说明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728.48</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728.48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四、财政拨款收入支出决算总体情况说明</w:t>
      </w:r>
    </w:p>
    <w:p>
      <w:pPr>
        <w:pStyle w:val="11"/>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2019年度财政拨款收</w:t>
      </w:r>
      <w:r>
        <w:rPr>
          <w:rFonts w:hint="default" w:asciiTheme="minorEastAsia" w:hAnsiTheme="minorEastAsia" w:eastAsiaTheme="minorEastAsia"/>
          <w:sz w:val="32"/>
          <w:szCs w:val="32"/>
          <w:lang w:val="en-US" w:eastAsia="zh-CN"/>
        </w:rPr>
        <w:t>入</w:t>
      </w:r>
      <w:r>
        <w:rPr>
          <w:rFonts w:hint="eastAsia" w:asciiTheme="minorEastAsia" w:hAnsiTheme="minorEastAsia" w:eastAsiaTheme="minorEastAsia"/>
          <w:sz w:val="32"/>
          <w:szCs w:val="32"/>
          <w:lang w:val="en-US" w:eastAsia="zh-CN"/>
        </w:rPr>
        <w:t>728.48</w:t>
      </w:r>
      <w:r>
        <w:rPr>
          <w:rFonts w:hint="default" w:asciiTheme="minorEastAsia" w:hAnsiTheme="minorEastAsia" w:eastAsiaTheme="minorEastAsia"/>
          <w:sz w:val="32"/>
          <w:szCs w:val="32"/>
          <w:lang w:val="en-US" w:eastAsia="zh-CN"/>
        </w:rPr>
        <w:t>万元</w:t>
      </w:r>
      <w:r>
        <w:rPr>
          <w:rFonts w:hint="eastAsia" w:asciiTheme="minorEastAsia" w:hAnsiTheme="minorEastAsia" w:eastAsiaTheme="minorEastAsia"/>
          <w:sz w:val="32"/>
          <w:szCs w:val="32"/>
          <w:lang w:val="en-US" w:eastAsia="zh-CN"/>
        </w:rPr>
        <w:t>、</w:t>
      </w:r>
      <w:r>
        <w:rPr>
          <w:rFonts w:hint="default" w:asciiTheme="minorEastAsia" w:hAnsiTheme="minorEastAsia" w:eastAsiaTheme="minorEastAsia"/>
          <w:sz w:val="32"/>
          <w:szCs w:val="32"/>
          <w:lang w:val="en-US" w:eastAsia="zh-CN"/>
        </w:rPr>
        <w:t>财政拨款支出</w:t>
      </w:r>
      <w:r>
        <w:rPr>
          <w:rFonts w:hint="eastAsia" w:asciiTheme="minorEastAsia" w:hAnsiTheme="minorEastAsia" w:eastAsiaTheme="minorEastAsia"/>
          <w:sz w:val="32"/>
          <w:szCs w:val="32"/>
          <w:lang w:val="en-US" w:eastAsia="zh-CN"/>
        </w:rPr>
        <w:t>728.48</w:t>
      </w:r>
      <w:r>
        <w:rPr>
          <w:rFonts w:hint="default" w:asciiTheme="minorEastAsia" w:hAnsiTheme="minorEastAsia" w:eastAsiaTheme="minorEastAsia"/>
          <w:sz w:val="32"/>
          <w:szCs w:val="32"/>
          <w:lang w:val="en-US" w:eastAsia="zh-CN"/>
        </w:rPr>
        <w:t>万元，</w:t>
      </w:r>
      <w:r>
        <w:rPr>
          <w:rFonts w:hint="eastAsia" w:asciiTheme="minorEastAsia" w:hAnsiTheme="minorEastAsia" w:eastAsiaTheme="minorEastAsia"/>
          <w:sz w:val="32"/>
          <w:szCs w:val="32"/>
          <w:lang w:val="en-US" w:eastAsia="zh-CN"/>
        </w:rPr>
        <w:t>因本单位为2019年新成立单位，</w:t>
      </w:r>
      <w:r>
        <w:rPr>
          <w:rFonts w:hint="eastAsia" w:asciiTheme="minorEastAsia" w:hAnsiTheme="minorEastAsia" w:eastAsiaTheme="minorEastAsia"/>
          <w:sz w:val="32"/>
          <w:szCs w:val="32"/>
        </w:rPr>
        <w:t>与2018年</w:t>
      </w:r>
      <w:r>
        <w:rPr>
          <w:rFonts w:hint="eastAsia" w:asciiTheme="minorEastAsia" w:hAnsiTheme="minorEastAsia" w:eastAsiaTheme="minorEastAsia"/>
          <w:sz w:val="32"/>
          <w:szCs w:val="32"/>
          <w:lang w:eastAsia="zh-CN"/>
        </w:rPr>
        <w:t>不可</w:t>
      </w:r>
      <w:r>
        <w:rPr>
          <w:rFonts w:hint="eastAsia" w:asciiTheme="minorEastAsia" w:hAnsiTheme="minorEastAsia" w:eastAsiaTheme="minorEastAsia"/>
          <w:sz w:val="32"/>
          <w:szCs w:val="32"/>
        </w:rPr>
        <w:t>比</w:t>
      </w:r>
      <w:r>
        <w:rPr>
          <w:rFonts w:hint="eastAsia" w:asciiTheme="minorEastAsia" w:hAnsiTheme="minorEastAsia" w:eastAsiaTheme="minorEastAsia"/>
          <w:sz w:val="32"/>
          <w:szCs w:val="32"/>
          <w:lang w:eastAsia="zh-CN"/>
        </w:rPr>
        <w:t>。</w:t>
      </w:r>
    </w:p>
    <w:p>
      <w:pPr>
        <w:pStyle w:val="11"/>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2019年度财政拨款支出</w:t>
      </w:r>
      <w:r>
        <w:rPr>
          <w:rFonts w:hint="eastAsia" w:asciiTheme="minorEastAsia" w:hAnsiTheme="minorEastAsia" w:eastAsiaTheme="minorEastAsia"/>
          <w:sz w:val="32"/>
          <w:szCs w:val="32"/>
          <w:lang w:val="en-US" w:eastAsia="zh-CN"/>
        </w:rPr>
        <w:t>728.48</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因本单位为2019年新成立单位，</w:t>
      </w:r>
      <w:r>
        <w:rPr>
          <w:rFonts w:hint="eastAsia" w:asciiTheme="minorEastAsia" w:hAnsiTheme="minorEastAsia" w:eastAsiaTheme="minorEastAsia"/>
          <w:sz w:val="32"/>
          <w:szCs w:val="32"/>
        </w:rPr>
        <w:t>与2018年</w:t>
      </w:r>
      <w:r>
        <w:rPr>
          <w:rFonts w:hint="eastAsia" w:asciiTheme="minorEastAsia" w:hAnsiTheme="minorEastAsia" w:eastAsiaTheme="minorEastAsia"/>
          <w:sz w:val="32"/>
          <w:szCs w:val="32"/>
          <w:lang w:eastAsia="zh-CN"/>
        </w:rPr>
        <w:t>不可</w:t>
      </w:r>
      <w:r>
        <w:rPr>
          <w:rFonts w:hint="eastAsia" w:asciiTheme="minorEastAsia" w:hAnsiTheme="minorEastAsia" w:eastAsiaTheme="minorEastAsia"/>
          <w:sz w:val="32"/>
          <w:szCs w:val="32"/>
        </w:rPr>
        <w:t>比</w:t>
      </w:r>
      <w:r>
        <w:rPr>
          <w:rFonts w:hint="eastAsia" w:asciiTheme="minorEastAsia" w:hAnsiTheme="minorEastAsia" w:eastAsiaTheme="minorEastAsia"/>
          <w:sz w:val="32"/>
          <w:szCs w:val="32"/>
          <w:lang w:eastAsia="zh-CN"/>
        </w:rPr>
        <w:t>。</w:t>
      </w:r>
    </w:p>
    <w:p>
      <w:pPr>
        <w:pStyle w:val="11"/>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2019年度财政拨款支出</w:t>
      </w:r>
      <w:r>
        <w:rPr>
          <w:rFonts w:hint="eastAsia" w:asciiTheme="minorEastAsia" w:hAnsiTheme="minorEastAsia" w:eastAsiaTheme="minorEastAsia"/>
          <w:sz w:val="32"/>
          <w:szCs w:val="32"/>
          <w:lang w:val="en-US" w:eastAsia="zh-CN"/>
        </w:rPr>
        <w:t>728.48</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140.70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19.31</w:t>
      </w:r>
      <w:r>
        <w:rPr>
          <w:rFonts w:hint="eastAsia" w:asciiTheme="minorEastAsia" w:hAnsiTheme="minorEastAsia" w:eastAsiaTheme="minorEastAsia"/>
          <w:sz w:val="32"/>
          <w:szCs w:val="32"/>
        </w:rPr>
        <w:t>%；社会保障和就业（类）支出</w:t>
      </w:r>
      <w:r>
        <w:rPr>
          <w:rFonts w:hint="eastAsia" w:asciiTheme="minorEastAsia" w:hAnsiTheme="minorEastAsia" w:eastAsiaTheme="minorEastAsia"/>
          <w:sz w:val="32"/>
          <w:szCs w:val="32"/>
          <w:lang w:val="en-US" w:eastAsia="zh-CN"/>
        </w:rPr>
        <w:t>587.78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80.69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1"/>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2019年度财政拨款支出决算数为</w:t>
      </w:r>
      <w:r>
        <w:rPr>
          <w:rFonts w:hint="eastAsia" w:asciiTheme="minorEastAsia" w:hAnsiTheme="minorEastAsia" w:eastAsiaTheme="minorEastAsia"/>
          <w:sz w:val="32"/>
          <w:szCs w:val="32"/>
          <w:lang w:val="en-US" w:eastAsia="zh-CN"/>
        </w:rPr>
        <w:t>728.48</w:t>
      </w:r>
      <w:r>
        <w:rPr>
          <w:rFonts w:hint="eastAsia" w:asciiTheme="minorEastAsia" w:hAnsiTheme="minorEastAsia" w:eastAsiaTheme="minorEastAsia"/>
          <w:sz w:val="32"/>
          <w:szCs w:val="32"/>
        </w:rPr>
        <w:t>万元，其中：</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1、一般公共服务（类）</w:t>
      </w:r>
      <w:r>
        <w:rPr>
          <w:rFonts w:hint="eastAsia" w:asciiTheme="minorEastAsia" w:hAnsiTheme="minorEastAsia" w:eastAsiaTheme="minorEastAsia"/>
          <w:sz w:val="32"/>
          <w:szCs w:val="32"/>
          <w:lang w:val="en-US" w:eastAsia="zh-CN"/>
        </w:rPr>
        <w:t>03</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01</w:t>
      </w:r>
      <w:r>
        <w:rPr>
          <w:rFonts w:hint="eastAsia" w:asciiTheme="minorEastAsia" w:hAnsiTheme="minorEastAsia" w:eastAsiaTheme="minorEastAsia"/>
          <w:sz w:val="32"/>
          <w:szCs w:val="32"/>
        </w:rPr>
        <w:t>（项）</w:t>
      </w:r>
      <w:r>
        <w:rPr>
          <w:rFonts w:hint="eastAsia" w:asciiTheme="minorEastAsia" w:hAnsiTheme="minorEastAsia" w:eastAsiaTheme="minorEastAsia"/>
          <w:sz w:val="32"/>
          <w:szCs w:val="32"/>
          <w:lang w:eastAsia="zh-CN"/>
        </w:rPr>
        <w:t>行政运行</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11"/>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2、一般公共服务（类）</w:t>
      </w:r>
      <w:r>
        <w:rPr>
          <w:rFonts w:hint="eastAsia" w:asciiTheme="minorEastAsia" w:hAnsiTheme="minorEastAsia" w:eastAsiaTheme="minorEastAsia"/>
          <w:sz w:val="32"/>
          <w:szCs w:val="32"/>
          <w:lang w:val="en-US" w:eastAsia="zh-CN"/>
        </w:rPr>
        <w:t>03</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08</w:t>
      </w:r>
      <w:r>
        <w:rPr>
          <w:rFonts w:hint="eastAsia" w:asciiTheme="minorEastAsia" w:hAnsiTheme="minorEastAsia" w:eastAsiaTheme="minorEastAsia"/>
          <w:sz w:val="32"/>
          <w:szCs w:val="32"/>
        </w:rPr>
        <w:t>（项）</w:t>
      </w:r>
      <w:r>
        <w:rPr>
          <w:rFonts w:hint="eastAsia" w:asciiTheme="minorEastAsia" w:hAnsiTheme="minorEastAsia" w:eastAsiaTheme="minorEastAsia"/>
          <w:sz w:val="32"/>
          <w:szCs w:val="32"/>
          <w:lang w:eastAsia="zh-CN"/>
        </w:rPr>
        <w:t>信访事务支出决算为</w:t>
      </w:r>
      <w:r>
        <w:rPr>
          <w:rFonts w:hint="eastAsia" w:asciiTheme="minorEastAsia" w:hAnsiTheme="minorEastAsia" w:eastAsiaTheme="minorEastAsia"/>
          <w:sz w:val="32"/>
          <w:szCs w:val="32"/>
          <w:lang w:val="en-US" w:eastAsia="zh-CN"/>
        </w:rPr>
        <w:t>85.68万元。</w:t>
      </w:r>
    </w:p>
    <w:p>
      <w:pPr>
        <w:pStyle w:val="11"/>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一般公共服务（类）</w:t>
      </w:r>
      <w:r>
        <w:rPr>
          <w:rFonts w:hint="eastAsia" w:asciiTheme="minorEastAsia" w:hAnsiTheme="minorEastAsia" w:eastAsiaTheme="minorEastAsia"/>
          <w:sz w:val="32"/>
          <w:szCs w:val="32"/>
          <w:lang w:val="en-US" w:eastAsia="zh-CN"/>
        </w:rPr>
        <w:t>32</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99</w:t>
      </w:r>
      <w:r>
        <w:rPr>
          <w:rFonts w:hint="eastAsia" w:asciiTheme="minorEastAsia" w:hAnsiTheme="minorEastAsia" w:eastAsiaTheme="minorEastAsia"/>
          <w:sz w:val="32"/>
          <w:szCs w:val="32"/>
        </w:rPr>
        <w:t>（项）</w:t>
      </w:r>
      <w:r>
        <w:rPr>
          <w:rFonts w:hint="eastAsia" w:asciiTheme="minorEastAsia" w:hAnsiTheme="minorEastAsia" w:eastAsiaTheme="minorEastAsia"/>
          <w:sz w:val="32"/>
          <w:szCs w:val="32"/>
          <w:lang w:eastAsia="zh-CN"/>
        </w:rPr>
        <w:t>其他组织事务支出决算为</w:t>
      </w:r>
      <w:r>
        <w:rPr>
          <w:rFonts w:hint="eastAsia" w:asciiTheme="minorEastAsia" w:hAnsiTheme="minorEastAsia" w:eastAsiaTheme="minorEastAsia"/>
          <w:sz w:val="32"/>
          <w:szCs w:val="32"/>
          <w:lang w:val="en-US" w:eastAsia="zh-CN"/>
        </w:rPr>
        <w:t>0.7万元。</w:t>
      </w:r>
    </w:p>
    <w:p>
      <w:pPr>
        <w:pStyle w:val="11"/>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一般公共服务（类）</w:t>
      </w:r>
      <w:r>
        <w:rPr>
          <w:rFonts w:hint="eastAsia" w:asciiTheme="minorEastAsia" w:hAnsiTheme="minorEastAsia" w:eastAsiaTheme="minorEastAsia"/>
          <w:sz w:val="32"/>
          <w:szCs w:val="32"/>
          <w:lang w:val="en-US" w:eastAsia="zh-CN"/>
        </w:rPr>
        <w:t>99</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99</w:t>
      </w:r>
      <w:r>
        <w:rPr>
          <w:rFonts w:hint="eastAsia" w:asciiTheme="minorEastAsia" w:hAnsiTheme="minorEastAsia" w:eastAsiaTheme="minorEastAsia"/>
          <w:sz w:val="32"/>
          <w:szCs w:val="32"/>
        </w:rPr>
        <w:t>（项）</w:t>
      </w:r>
      <w:r>
        <w:rPr>
          <w:rFonts w:hint="eastAsia" w:asciiTheme="minorEastAsia" w:hAnsiTheme="minorEastAsia" w:eastAsiaTheme="minorEastAsia"/>
          <w:sz w:val="32"/>
          <w:szCs w:val="32"/>
          <w:lang w:eastAsia="zh-CN"/>
        </w:rPr>
        <w:t>其他一般公共服务支出决算为</w:t>
      </w:r>
      <w:r>
        <w:rPr>
          <w:rFonts w:hint="eastAsia" w:asciiTheme="minorEastAsia" w:hAnsiTheme="minorEastAsia" w:eastAsiaTheme="minorEastAsia"/>
          <w:sz w:val="32"/>
          <w:szCs w:val="32"/>
          <w:lang w:val="en-US" w:eastAsia="zh-CN"/>
        </w:rPr>
        <w:t>34.32万元。</w:t>
      </w:r>
    </w:p>
    <w:p>
      <w:pPr>
        <w:pStyle w:val="11"/>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5、社会保障和就业</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02</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01</w:t>
      </w:r>
      <w:r>
        <w:rPr>
          <w:rFonts w:hint="eastAsia" w:asciiTheme="minorEastAsia" w:hAnsiTheme="minorEastAsia" w:eastAsiaTheme="minorEastAsia"/>
          <w:sz w:val="32"/>
          <w:szCs w:val="32"/>
        </w:rPr>
        <w:t>（项）</w:t>
      </w:r>
      <w:r>
        <w:rPr>
          <w:rFonts w:hint="eastAsia" w:asciiTheme="minorEastAsia" w:hAnsiTheme="minorEastAsia" w:eastAsiaTheme="minorEastAsia"/>
          <w:sz w:val="32"/>
          <w:szCs w:val="32"/>
          <w:lang w:eastAsia="zh-CN"/>
        </w:rPr>
        <w:t>行政运行支出决算为</w:t>
      </w:r>
      <w:r>
        <w:rPr>
          <w:rFonts w:hint="eastAsia" w:asciiTheme="minorEastAsia" w:hAnsiTheme="minorEastAsia" w:eastAsiaTheme="minorEastAsia"/>
          <w:sz w:val="32"/>
          <w:szCs w:val="32"/>
          <w:lang w:val="en-US" w:eastAsia="zh-CN"/>
        </w:rPr>
        <w:t>13.73万元。</w:t>
      </w:r>
    </w:p>
    <w:p>
      <w:pPr>
        <w:pStyle w:val="11"/>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6、社会保障和就业</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08</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03</w:t>
      </w:r>
      <w:r>
        <w:rPr>
          <w:rFonts w:hint="eastAsia" w:asciiTheme="minorEastAsia" w:hAnsiTheme="minorEastAsia" w:eastAsiaTheme="minorEastAsia"/>
          <w:sz w:val="32"/>
          <w:szCs w:val="32"/>
        </w:rPr>
        <w:t>（项）</w:t>
      </w:r>
      <w:r>
        <w:rPr>
          <w:rFonts w:hint="eastAsia" w:asciiTheme="minorEastAsia" w:hAnsiTheme="minorEastAsia" w:eastAsiaTheme="minorEastAsia"/>
          <w:sz w:val="32"/>
          <w:szCs w:val="32"/>
          <w:lang w:eastAsia="zh-CN"/>
        </w:rPr>
        <w:t>在乡复员、退伍军人生活补助支出决算为</w:t>
      </w:r>
      <w:r>
        <w:rPr>
          <w:rFonts w:hint="eastAsia" w:asciiTheme="minorEastAsia" w:hAnsiTheme="minorEastAsia" w:eastAsiaTheme="minorEastAsia"/>
          <w:sz w:val="32"/>
          <w:szCs w:val="32"/>
          <w:lang w:val="en-US" w:eastAsia="zh-CN"/>
        </w:rPr>
        <w:t>50.16万元。</w:t>
      </w:r>
    </w:p>
    <w:p>
      <w:pPr>
        <w:pStyle w:val="11"/>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7、社会保障和就业</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28</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01</w:t>
      </w:r>
      <w:r>
        <w:rPr>
          <w:rFonts w:hint="eastAsia" w:asciiTheme="minorEastAsia" w:hAnsiTheme="minorEastAsia" w:eastAsiaTheme="minorEastAsia"/>
          <w:sz w:val="32"/>
          <w:szCs w:val="32"/>
        </w:rPr>
        <w:t>（项）</w:t>
      </w:r>
      <w:r>
        <w:rPr>
          <w:rFonts w:hint="eastAsia" w:asciiTheme="minorEastAsia" w:hAnsiTheme="minorEastAsia" w:eastAsiaTheme="minorEastAsia"/>
          <w:sz w:val="32"/>
          <w:szCs w:val="32"/>
          <w:lang w:eastAsia="zh-CN"/>
        </w:rPr>
        <w:t>行政运行支出决算为</w:t>
      </w:r>
      <w:r>
        <w:rPr>
          <w:rFonts w:hint="eastAsia" w:asciiTheme="minorEastAsia" w:hAnsiTheme="minorEastAsia" w:eastAsiaTheme="minorEastAsia"/>
          <w:sz w:val="32"/>
          <w:szCs w:val="32"/>
          <w:lang w:val="en-US" w:eastAsia="zh-CN"/>
        </w:rPr>
        <w:t>402.31万元。</w:t>
      </w:r>
    </w:p>
    <w:p>
      <w:pPr>
        <w:pStyle w:val="11"/>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8、社会保障和就业</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99</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01</w:t>
      </w:r>
      <w:r>
        <w:rPr>
          <w:rFonts w:hint="eastAsia" w:asciiTheme="minorEastAsia" w:hAnsiTheme="minorEastAsia" w:eastAsiaTheme="minorEastAsia"/>
          <w:sz w:val="32"/>
          <w:szCs w:val="32"/>
        </w:rPr>
        <w:t>（项）</w:t>
      </w:r>
      <w:r>
        <w:rPr>
          <w:rFonts w:hint="eastAsia" w:asciiTheme="minorEastAsia" w:hAnsiTheme="minorEastAsia" w:eastAsiaTheme="minorEastAsia"/>
          <w:sz w:val="32"/>
          <w:szCs w:val="32"/>
          <w:lang w:eastAsia="zh-CN"/>
        </w:rPr>
        <w:t>其他社会保障和就业支出支出决算为</w:t>
      </w:r>
      <w:r>
        <w:rPr>
          <w:rFonts w:hint="eastAsia" w:asciiTheme="minorEastAsia" w:hAnsiTheme="minorEastAsia" w:eastAsiaTheme="minorEastAsia"/>
          <w:sz w:val="32"/>
          <w:szCs w:val="32"/>
          <w:lang w:val="en-US" w:eastAsia="zh-CN"/>
        </w:rPr>
        <w:t>121.58万元。</w:t>
      </w:r>
    </w:p>
    <w:p>
      <w:pPr>
        <w:pStyle w:val="11"/>
        <w:ind w:firstLine="800" w:firstLineChars="250"/>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2019年度财政拨款基本支出</w:t>
      </w:r>
      <w:r>
        <w:rPr>
          <w:rFonts w:hint="eastAsia" w:asciiTheme="minorEastAsia" w:hAnsiTheme="minorEastAsia" w:eastAsiaTheme="minorEastAsia"/>
          <w:sz w:val="32"/>
          <w:szCs w:val="32"/>
          <w:lang w:val="en-US" w:eastAsia="zh-CN"/>
        </w:rPr>
        <w:t>728.48</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266.83</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36.63</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、各项保险和住房公积金；</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461.65</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63.37</w:t>
      </w:r>
      <w:r>
        <w:rPr>
          <w:rFonts w:hint="eastAsia" w:asciiTheme="minorEastAsia" w:hAnsiTheme="minorEastAsia" w:eastAsiaTheme="minorEastAsia"/>
          <w:sz w:val="32"/>
          <w:szCs w:val="32"/>
        </w:rPr>
        <w:t>%，主要包括办公费、印刷费、咨询费、</w:t>
      </w:r>
      <w:r>
        <w:rPr>
          <w:rFonts w:hint="eastAsia" w:asciiTheme="minorEastAsia" w:hAnsiTheme="minorEastAsia" w:eastAsiaTheme="minorEastAsia"/>
          <w:sz w:val="32"/>
          <w:szCs w:val="32"/>
          <w:lang w:eastAsia="zh-CN"/>
        </w:rPr>
        <w:t>水电费、差旅费、维护费等</w:t>
      </w:r>
      <w:r>
        <w:rPr>
          <w:rFonts w:hint="eastAsia" w:asciiTheme="minorEastAsia" w:hAnsiTheme="minorEastAsia" w:eastAsiaTheme="minorEastAsia"/>
          <w:sz w:val="32"/>
          <w:szCs w:val="32"/>
        </w:rPr>
        <w:t>。</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Ansi="黑体"/>
          <w:b/>
          <w:sz w:val="32"/>
          <w:szCs w:val="32"/>
        </w:rPr>
      </w:pPr>
      <w:r>
        <w:rPr>
          <w:rFonts w:hint="eastAsia" w:hAnsi="黑体"/>
          <w:b/>
          <w:sz w:val="32"/>
          <w:szCs w:val="32"/>
        </w:rPr>
        <w:t>七、一般公共预算财政拨款三公经费支出决算情况说明</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w:t>
      </w:r>
      <w:r>
        <w:rPr>
          <w:rFonts w:hint="eastAsia" w:asciiTheme="minorEastAsia" w:hAnsiTheme="minorEastAsia" w:eastAsiaTheme="minorEastAsia"/>
          <w:sz w:val="32"/>
          <w:szCs w:val="32"/>
          <w:lang w:eastAsia="zh-CN"/>
        </w:rPr>
        <w:t>调整预算为</w:t>
      </w:r>
      <w:r>
        <w:rPr>
          <w:rFonts w:hint="eastAsia" w:asciiTheme="minorEastAsia" w:hAnsiTheme="minorEastAsia" w:eastAsiaTheme="minorEastAsia"/>
          <w:sz w:val="32"/>
          <w:szCs w:val="32"/>
          <w:lang w:val="en-US" w:eastAsia="zh-CN"/>
        </w:rPr>
        <w:t>2万元，支出</w:t>
      </w:r>
      <w:r>
        <w:rPr>
          <w:rFonts w:hint="eastAsia" w:asciiTheme="minorEastAsia" w:hAnsiTheme="minorEastAsia" w:eastAsiaTheme="minorEastAsia"/>
          <w:sz w:val="32"/>
          <w:szCs w:val="32"/>
        </w:rPr>
        <w:t>决算为</w:t>
      </w:r>
      <w:r>
        <w:rPr>
          <w:rFonts w:hint="eastAsia" w:asciiTheme="minorEastAsia" w:hAnsiTheme="minorEastAsia" w:eastAsiaTheme="minorEastAsia"/>
          <w:sz w:val="32"/>
          <w:szCs w:val="32"/>
          <w:lang w:val="en-US" w:eastAsia="zh-CN"/>
        </w:rPr>
        <w:t>1.93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96.5</w:t>
      </w:r>
      <w:r>
        <w:rPr>
          <w:rFonts w:hint="eastAsia" w:asciiTheme="minorEastAsia" w:hAnsiTheme="minorEastAsia" w:eastAsiaTheme="minorEastAsia"/>
          <w:sz w:val="32"/>
          <w:szCs w:val="32"/>
        </w:rPr>
        <w:t>%，其中：</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公务接待费支出决算为</w:t>
      </w:r>
      <w:r>
        <w:rPr>
          <w:rFonts w:hint="eastAsia" w:asciiTheme="minorEastAsia" w:hAnsiTheme="minorEastAsia" w:eastAsiaTheme="minorEastAsia"/>
          <w:sz w:val="32"/>
          <w:szCs w:val="32"/>
          <w:lang w:val="en-US" w:eastAsia="zh-CN"/>
        </w:rPr>
        <w:t>1.93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因本单位为2019年新成立单位，</w:t>
      </w:r>
      <w:r>
        <w:rPr>
          <w:rFonts w:hint="eastAsia" w:asciiTheme="minorEastAsia" w:hAnsiTheme="minorEastAsia" w:eastAsiaTheme="minorEastAsia"/>
          <w:sz w:val="32"/>
          <w:szCs w:val="32"/>
        </w:rPr>
        <w:t>与2018年</w:t>
      </w:r>
      <w:r>
        <w:rPr>
          <w:rFonts w:hint="eastAsia" w:asciiTheme="minorEastAsia" w:hAnsiTheme="minorEastAsia" w:eastAsiaTheme="minorEastAsia"/>
          <w:sz w:val="32"/>
          <w:szCs w:val="32"/>
          <w:lang w:eastAsia="zh-CN"/>
        </w:rPr>
        <w:t>不可</w:t>
      </w:r>
      <w:r>
        <w:rPr>
          <w:rFonts w:hint="eastAsia" w:asciiTheme="minorEastAsia" w:hAnsiTheme="minorEastAsia" w:eastAsiaTheme="minorEastAsia"/>
          <w:sz w:val="32"/>
          <w:szCs w:val="32"/>
        </w:rPr>
        <w:t>比</w:t>
      </w:r>
      <w:r>
        <w:rPr>
          <w:rFonts w:hint="eastAsia" w:asciiTheme="minorEastAsia" w:hAnsiTheme="minorEastAsia" w:eastAsiaTheme="minorEastAsia"/>
          <w:sz w:val="32"/>
          <w:szCs w:val="32"/>
          <w:lang w:eastAsia="zh-CN"/>
        </w:rPr>
        <w:t>。</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因公出国（境）费支出</w:t>
      </w:r>
      <w:r>
        <w:rPr>
          <w:rFonts w:hint="eastAsia" w:asciiTheme="minorEastAsia" w:hAnsiTheme="minorEastAsia" w:eastAsiaTheme="minorEastAsia"/>
          <w:sz w:val="32"/>
          <w:szCs w:val="32"/>
          <w:lang w:eastAsia="zh-CN"/>
        </w:rPr>
        <w:t>和</w:t>
      </w:r>
      <w:r>
        <w:rPr>
          <w:rFonts w:hint="eastAsia" w:asciiTheme="minorEastAsia" w:hAnsiTheme="minorEastAsia" w:eastAsiaTheme="minorEastAsia"/>
          <w:sz w:val="32"/>
          <w:szCs w:val="32"/>
        </w:rPr>
        <w:t>公务用车购置费及运行维护费支出。</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2019年度“三公”经费财政拨款支出决算中，公务接待费支出决算</w:t>
      </w:r>
      <w:r>
        <w:rPr>
          <w:rFonts w:hint="eastAsia" w:asciiTheme="minorEastAsia" w:hAnsiTheme="minorEastAsia" w:eastAsiaTheme="minorEastAsia"/>
          <w:sz w:val="32"/>
          <w:szCs w:val="32"/>
          <w:lang w:val="en-US" w:eastAsia="zh-CN"/>
        </w:rPr>
        <w:t>1.93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全年共</w:t>
      </w:r>
      <w:r>
        <w:rPr>
          <w:rFonts w:hint="default" w:asciiTheme="minorEastAsia" w:hAnsiTheme="minorEastAsia" w:eastAsiaTheme="minorEastAsia"/>
          <w:sz w:val="32"/>
          <w:szCs w:val="32"/>
          <w:lang w:val="en-US" w:eastAsia="zh-CN"/>
        </w:rPr>
        <w:t>接待</w:t>
      </w:r>
      <w:r>
        <w:rPr>
          <w:rFonts w:hint="eastAsia" w:asciiTheme="minorEastAsia" w:hAnsiTheme="minorEastAsia" w:eastAsiaTheme="minorEastAsia"/>
          <w:sz w:val="32"/>
          <w:szCs w:val="32"/>
          <w:lang w:val="en-US" w:eastAsia="zh-CN"/>
        </w:rPr>
        <w:t>73</w:t>
      </w:r>
      <w:r>
        <w:rPr>
          <w:rFonts w:hint="default" w:asciiTheme="minorEastAsia" w:hAnsiTheme="minorEastAsia" w:eastAsiaTheme="minorEastAsia"/>
          <w:sz w:val="32"/>
          <w:szCs w:val="32"/>
          <w:lang w:val="en-US" w:eastAsia="zh-CN"/>
        </w:rPr>
        <w:t>批3</w:t>
      </w:r>
      <w:r>
        <w:rPr>
          <w:rFonts w:hint="eastAsia" w:asciiTheme="minorEastAsia" w:hAnsiTheme="minorEastAsia" w:eastAsiaTheme="minorEastAsia"/>
          <w:sz w:val="32"/>
          <w:szCs w:val="32"/>
          <w:lang w:val="en-US" w:eastAsia="zh-CN"/>
        </w:rPr>
        <w:t>66</w:t>
      </w:r>
      <w:r>
        <w:rPr>
          <w:rFonts w:hint="default" w:asciiTheme="minorEastAsia" w:hAnsiTheme="minorEastAsia" w:eastAsiaTheme="minorEastAsia"/>
          <w:sz w:val="32"/>
          <w:szCs w:val="32"/>
          <w:lang w:val="en-US" w:eastAsia="zh-CN"/>
        </w:rPr>
        <w:t>人次</w:t>
      </w:r>
      <w:r>
        <w:rPr>
          <w:rFonts w:hint="eastAsia" w:asciiTheme="minorEastAsia" w:hAnsiTheme="minorEastAsia" w:eastAsiaTheme="minorEastAsia"/>
          <w:sz w:val="32"/>
          <w:szCs w:val="32"/>
          <w:lang w:val="en-US" w:eastAsia="zh-CN"/>
        </w:rPr>
        <w:t>，本单位2019年度</w:t>
      </w:r>
      <w:r>
        <w:rPr>
          <w:rFonts w:hint="eastAsia" w:asciiTheme="minorEastAsia" w:hAnsiTheme="minorEastAsia" w:eastAsiaTheme="minorEastAsia"/>
          <w:sz w:val="32"/>
          <w:szCs w:val="32"/>
        </w:rPr>
        <w:t>因公出国（境）</w:t>
      </w:r>
      <w:r>
        <w:rPr>
          <w:rFonts w:hint="eastAsia" w:asciiTheme="minorEastAsia" w:hAnsiTheme="minorEastAsia" w:eastAsiaTheme="minorEastAsia"/>
          <w:sz w:val="32"/>
          <w:szCs w:val="32"/>
          <w:lang w:eastAsia="zh-CN"/>
        </w:rPr>
        <w:t>为</w:t>
      </w:r>
      <w:r>
        <w:rPr>
          <w:rFonts w:hint="eastAsia" w:asciiTheme="minorEastAsia" w:hAnsiTheme="minorEastAsia" w:eastAsiaTheme="minorEastAsia"/>
          <w:sz w:val="32"/>
          <w:szCs w:val="32"/>
          <w:lang w:val="en-US" w:eastAsia="zh-CN"/>
        </w:rPr>
        <w:t>0人0批次，</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因公出国（境）费支出</w:t>
      </w:r>
      <w:r>
        <w:rPr>
          <w:rFonts w:hint="eastAsia" w:asciiTheme="minorEastAsia" w:hAnsiTheme="minorEastAsia" w:eastAsiaTheme="minorEastAsia"/>
          <w:sz w:val="32"/>
          <w:szCs w:val="32"/>
          <w:lang w:eastAsia="zh-CN"/>
        </w:rPr>
        <w:t>和</w:t>
      </w:r>
      <w:r>
        <w:rPr>
          <w:rFonts w:hint="eastAsia" w:asciiTheme="minorEastAsia" w:hAnsiTheme="minorEastAsia" w:eastAsiaTheme="minorEastAsia"/>
          <w:sz w:val="32"/>
          <w:szCs w:val="32"/>
        </w:rPr>
        <w:t>公务用车购置费及运行维护费支出。</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Ansi="黑体"/>
          <w:b/>
          <w:sz w:val="32"/>
          <w:szCs w:val="32"/>
        </w:rPr>
      </w:pPr>
      <w:r>
        <w:rPr>
          <w:rFonts w:hint="eastAsia" w:hAnsi="黑体"/>
          <w:b/>
          <w:sz w:val="32"/>
          <w:szCs w:val="32"/>
        </w:rPr>
        <w:t>八、政府性基金预算收入支出决算情况</w:t>
      </w:r>
    </w:p>
    <w:p>
      <w:pPr>
        <w:pStyle w:val="11"/>
        <w:ind w:firstLine="64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本单位无政府性基金收支</w:t>
      </w:r>
      <w:r>
        <w:rPr>
          <w:rFonts w:hint="eastAsia" w:asciiTheme="minorEastAsia" w:hAnsiTheme="minorEastAsia" w:eastAsiaTheme="minorEastAsia"/>
          <w:sz w:val="32"/>
          <w:szCs w:val="32"/>
          <w:lang w:eastAsia="zh-CN"/>
        </w:rPr>
        <w:t>。</w:t>
      </w:r>
    </w:p>
    <w:p>
      <w:pPr>
        <w:pStyle w:val="11"/>
        <w:ind w:firstLine="640"/>
        <w:rPr>
          <w:rFonts w:hAnsi="黑体"/>
          <w:b/>
          <w:sz w:val="32"/>
          <w:szCs w:val="32"/>
        </w:rPr>
      </w:pPr>
      <w:r>
        <w:rPr>
          <w:rFonts w:hint="eastAsia" w:hAnsi="黑体"/>
          <w:b/>
          <w:sz w:val="32"/>
          <w:szCs w:val="32"/>
        </w:rPr>
        <w:t>九、关于2019年度预算绩效情况说明</w:t>
      </w:r>
    </w:p>
    <w:p>
      <w:pPr>
        <w:pStyle w:val="11"/>
        <w:keepNext w:val="0"/>
        <w:keepLines w:val="0"/>
        <w:pageBreakBefore w:val="0"/>
        <w:widowControl w:val="0"/>
        <w:kinsoku/>
        <w:wordWrap/>
        <w:overflowPunct/>
        <w:topLinePunct w:val="0"/>
        <w:bidi w:val="0"/>
        <w:snapToGrid/>
        <w:ind w:firstLine="640" w:firstLineChars="200"/>
        <w:textAlignment w:val="auto"/>
        <w:rPr>
          <w:rFonts w:hint="eastAsia" w:ascii="宋体" w:hAnsi="宋体" w:eastAsia="宋体" w:cs="宋体"/>
          <w:b w:val="0"/>
          <w:bCs/>
          <w:color w:val="auto"/>
          <w:sz w:val="32"/>
          <w:szCs w:val="32"/>
        </w:rPr>
      </w:pPr>
      <w:r>
        <w:rPr>
          <w:rFonts w:hint="eastAsia" w:ascii="宋体" w:hAnsi="宋体" w:eastAsia="宋体" w:cs="宋体"/>
          <w:b w:val="0"/>
          <w:bCs/>
          <w:color w:val="auto"/>
          <w:sz w:val="32"/>
          <w:szCs w:val="32"/>
        </w:rPr>
        <w:t>201</w:t>
      </w:r>
      <w:r>
        <w:rPr>
          <w:rFonts w:hint="eastAsia" w:ascii="宋体" w:hAnsi="宋体" w:eastAsia="宋体" w:cs="宋体"/>
          <w:b w:val="0"/>
          <w:bCs/>
          <w:color w:val="auto"/>
          <w:sz w:val="32"/>
          <w:szCs w:val="32"/>
          <w:lang w:val="en-US" w:eastAsia="zh-CN"/>
        </w:rPr>
        <w:t>9</w:t>
      </w:r>
      <w:r>
        <w:rPr>
          <w:rFonts w:hint="eastAsia" w:ascii="宋体" w:hAnsi="宋体" w:eastAsia="宋体" w:cs="宋体"/>
          <w:b w:val="0"/>
          <w:bCs/>
          <w:color w:val="auto"/>
          <w:sz w:val="32"/>
          <w:szCs w:val="32"/>
        </w:rPr>
        <w:t>年，我单位在县委、县政府</w:t>
      </w:r>
      <w:r>
        <w:rPr>
          <w:rFonts w:hint="eastAsia" w:ascii="宋体" w:hAnsi="宋体" w:eastAsia="宋体" w:cs="宋体"/>
          <w:b w:val="0"/>
          <w:bCs/>
          <w:color w:val="auto"/>
          <w:sz w:val="32"/>
          <w:szCs w:val="32"/>
          <w:lang w:eastAsia="zh-CN"/>
        </w:rPr>
        <w:t>及主管局</w:t>
      </w:r>
      <w:r>
        <w:rPr>
          <w:rFonts w:hint="eastAsia" w:ascii="宋体" w:hAnsi="宋体" w:eastAsia="宋体" w:cs="宋体"/>
          <w:b w:val="0"/>
          <w:bCs/>
          <w:color w:val="auto"/>
          <w:sz w:val="32"/>
          <w:szCs w:val="32"/>
        </w:rPr>
        <w:t>的领导下，坚持依法行政、稳中求进、改革创新、积极作为，突出抓改革强监管促发展，各方面工作稳步推进，根据我单位制定的《部门整体支出绩效评价自评分值表》评分，财政支出绩效为“良”。</w:t>
      </w:r>
    </w:p>
    <w:p>
      <w:pPr>
        <w:pStyle w:val="11"/>
        <w:keepNext w:val="0"/>
        <w:keepLines w:val="0"/>
        <w:pageBreakBefore w:val="0"/>
        <w:widowControl w:val="0"/>
        <w:kinsoku/>
        <w:wordWrap/>
        <w:overflowPunct/>
        <w:topLinePunct w:val="0"/>
        <w:bidi w:val="0"/>
        <w:snapToGrid/>
        <w:ind w:firstLine="640" w:firstLineChars="200"/>
        <w:textAlignment w:val="auto"/>
        <w:rPr>
          <w:rFonts w:hAnsi="黑体"/>
          <w:b/>
          <w:sz w:val="32"/>
          <w:szCs w:val="32"/>
        </w:rPr>
      </w:pPr>
      <w:r>
        <w:rPr>
          <w:rFonts w:hint="eastAsia" w:hAnsi="黑体"/>
          <w:b/>
          <w:sz w:val="32"/>
          <w:szCs w:val="32"/>
        </w:rPr>
        <w:t>十、其他重要事项情况说明</w:t>
      </w:r>
    </w:p>
    <w:p>
      <w:pPr>
        <w:keepNext w:val="0"/>
        <w:keepLines w:val="0"/>
        <w:pageBreakBefore w:val="0"/>
        <w:widowControl w:val="0"/>
        <w:kinsoku/>
        <w:wordWrap/>
        <w:overflowPunct/>
        <w:topLinePunct w:val="0"/>
        <w:bidi w:val="0"/>
        <w:snapToGrid/>
        <w:ind w:firstLine="640" w:firstLineChars="200"/>
        <w:textAlignment w:val="auto"/>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（一）机关运行经费支出情况</w:t>
      </w:r>
    </w:p>
    <w:p>
      <w:pPr>
        <w:keepNext w:val="0"/>
        <w:keepLines w:val="0"/>
        <w:pageBreakBefore w:val="0"/>
        <w:widowControl w:val="0"/>
        <w:kinsoku/>
        <w:wordWrap/>
        <w:overflowPunct/>
        <w:topLinePunct w:val="0"/>
        <w:bidi w:val="0"/>
        <w:snapToGrid/>
        <w:ind w:firstLine="640" w:firstLineChars="200"/>
        <w:textAlignment w:val="auto"/>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rPr>
        <w:t>本部门2019 年度机关运行经费支出</w:t>
      </w:r>
      <w:r>
        <w:rPr>
          <w:rFonts w:hint="eastAsia" w:cs="黑体" w:asciiTheme="minorEastAsia" w:hAnsiTheme="minorEastAsia"/>
          <w:color w:val="000000"/>
          <w:kern w:val="0"/>
          <w:sz w:val="32"/>
          <w:szCs w:val="32"/>
          <w:lang w:val="en-US" w:eastAsia="zh-CN"/>
        </w:rPr>
        <w:t>461.65</w:t>
      </w:r>
      <w:r>
        <w:rPr>
          <w:rFonts w:hint="eastAsia" w:cs="黑体" w:asciiTheme="minorEastAsia" w:hAnsiTheme="minorEastAsia"/>
          <w:color w:val="000000"/>
          <w:kern w:val="0"/>
          <w:sz w:val="32"/>
          <w:szCs w:val="32"/>
        </w:rPr>
        <w:t>万元</w:t>
      </w:r>
      <w:r>
        <w:rPr>
          <w:rFonts w:hint="eastAsia" w:cs="黑体" w:asciiTheme="minorEastAsia" w:hAnsiTheme="minorEastAsia"/>
          <w:color w:val="000000"/>
          <w:kern w:val="0"/>
          <w:sz w:val="32"/>
          <w:szCs w:val="32"/>
          <w:lang w:eastAsia="zh-CN"/>
        </w:rPr>
        <w:t>。</w:t>
      </w:r>
    </w:p>
    <w:p>
      <w:pPr>
        <w:keepNext w:val="0"/>
        <w:keepLines w:val="0"/>
        <w:pageBreakBefore w:val="0"/>
        <w:widowControl w:val="0"/>
        <w:kinsoku/>
        <w:wordWrap/>
        <w:overflowPunct/>
        <w:topLinePunct w:val="0"/>
        <w:bidi w:val="0"/>
        <w:snapToGrid/>
        <w:ind w:firstLine="640" w:firstLineChars="200"/>
        <w:textAlignment w:val="auto"/>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（二）一般性支出情况</w:t>
      </w:r>
    </w:p>
    <w:p>
      <w:pPr>
        <w:keepNext w:val="0"/>
        <w:keepLines w:val="0"/>
        <w:pageBreakBefore w:val="0"/>
        <w:widowControl w:val="0"/>
        <w:kinsoku/>
        <w:wordWrap/>
        <w:overflowPunct/>
        <w:topLinePunct w:val="0"/>
        <w:bidi w:val="0"/>
        <w:snapToGrid/>
        <w:ind w:firstLine="640" w:firstLineChars="200"/>
        <w:textAlignment w:val="auto"/>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2019年本部门开支会议费</w:t>
      </w:r>
      <w:r>
        <w:rPr>
          <w:rFonts w:hint="eastAsia" w:cs="黑体" w:asciiTheme="minorEastAsia" w:hAnsiTheme="minorEastAsia"/>
          <w:color w:val="000000"/>
          <w:kern w:val="0"/>
          <w:sz w:val="32"/>
          <w:szCs w:val="32"/>
          <w:lang w:val="en-US" w:eastAsia="zh-CN"/>
        </w:rPr>
        <w:t>1.37</w:t>
      </w:r>
      <w:r>
        <w:rPr>
          <w:rFonts w:hint="eastAsia" w:cs="黑体" w:asciiTheme="minorEastAsia" w:hAnsiTheme="minorEastAsia"/>
          <w:color w:val="000000"/>
          <w:kern w:val="0"/>
          <w:sz w:val="32"/>
          <w:szCs w:val="32"/>
        </w:rPr>
        <w:t>万元，用于召开</w:t>
      </w:r>
      <w:r>
        <w:rPr>
          <w:rFonts w:hint="eastAsia" w:cs="黑体" w:asciiTheme="minorEastAsia" w:hAnsiTheme="minorEastAsia"/>
          <w:color w:val="000000"/>
          <w:kern w:val="0"/>
          <w:sz w:val="32"/>
          <w:szCs w:val="32"/>
          <w:lang w:eastAsia="zh-CN"/>
        </w:rPr>
        <w:t>“春风行动”</w:t>
      </w:r>
      <w:r>
        <w:rPr>
          <w:rFonts w:hint="eastAsia" w:cs="黑体" w:asciiTheme="minorEastAsia" w:hAnsiTheme="minorEastAsia"/>
          <w:color w:val="000000"/>
          <w:kern w:val="0"/>
          <w:sz w:val="32"/>
          <w:szCs w:val="32"/>
        </w:rPr>
        <w:t>会议，人数</w:t>
      </w:r>
      <w:r>
        <w:rPr>
          <w:rFonts w:hint="eastAsia" w:cs="黑体" w:asciiTheme="minorEastAsia" w:hAnsiTheme="minorEastAsia"/>
          <w:color w:val="000000"/>
          <w:kern w:val="0"/>
          <w:sz w:val="32"/>
          <w:szCs w:val="32"/>
          <w:lang w:val="en-US" w:eastAsia="zh-CN"/>
        </w:rPr>
        <w:t>78</w:t>
      </w:r>
      <w:r>
        <w:rPr>
          <w:rFonts w:hint="eastAsia" w:cs="黑体" w:asciiTheme="minorEastAsia" w:hAnsiTheme="minorEastAsia"/>
          <w:color w:val="000000"/>
          <w:kern w:val="0"/>
          <w:sz w:val="32"/>
          <w:szCs w:val="32"/>
        </w:rPr>
        <w:t>人，内容为</w:t>
      </w:r>
      <w:r>
        <w:rPr>
          <w:rFonts w:hint="eastAsia" w:cs="黑体" w:asciiTheme="minorEastAsia" w:hAnsiTheme="minorEastAsia"/>
          <w:color w:val="000000"/>
          <w:kern w:val="0"/>
          <w:sz w:val="32"/>
          <w:szCs w:val="32"/>
          <w:lang w:eastAsia="zh-CN"/>
        </w:rPr>
        <w:t>春节走访慰问退役军人和其他优抚对象会议</w:t>
      </w:r>
      <w:r>
        <w:rPr>
          <w:rFonts w:hint="eastAsia" w:cs="黑体" w:asciiTheme="minorEastAsia" w:hAnsiTheme="minorEastAsia"/>
          <w:color w:val="000000"/>
          <w:kern w:val="0"/>
          <w:sz w:val="32"/>
          <w:szCs w:val="32"/>
          <w:lang w:val="en-US" w:eastAsia="zh-CN"/>
        </w:rPr>
        <w:t>，</w:t>
      </w:r>
      <w:r>
        <w:rPr>
          <w:rFonts w:hint="eastAsia" w:cs="黑体" w:asciiTheme="minorEastAsia" w:hAnsiTheme="minorEastAsia"/>
          <w:color w:val="000000"/>
          <w:kern w:val="0"/>
          <w:sz w:val="32"/>
          <w:szCs w:val="32"/>
          <w:lang w:eastAsia="zh-CN"/>
        </w:rPr>
        <w:t>召开安置工作选择岗会议，人数</w:t>
      </w:r>
      <w:r>
        <w:rPr>
          <w:rFonts w:hint="eastAsia" w:cs="黑体" w:asciiTheme="minorEastAsia" w:hAnsiTheme="minorEastAsia"/>
          <w:color w:val="000000"/>
          <w:kern w:val="0"/>
          <w:sz w:val="32"/>
          <w:szCs w:val="32"/>
          <w:lang w:val="en-US" w:eastAsia="zh-CN"/>
        </w:rPr>
        <w:t>23人；</w:t>
      </w:r>
      <w:r>
        <w:rPr>
          <w:rFonts w:hint="eastAsia" w:cs="黑体" w:asciiTheme="minorEastAsia" w:hAnsiTheme="minorEastAsia"/>
          <w:color w:val="000000"/>
          <w:kern w:val="0"/>
          <w:sz w:val="32"/>
          <w:szCs w:val="32"/>
        </w:rPr>
        <w:t>开支培训费</w:t>
      </w:r>
      <w:r>
        <w:rPr>
          <w:rFonts w:hint="eastAsia" w:cs="黑体" w:asciiTheme="minorEastAsia" w:hAnsiTheme="minorEastAsia"/>
          <w:color w:val="000000"/>
          <w:kern w:val="0"/>
          <w:sz w:val="32"/>
          <w:szCs w:val="32"/>
          <w:lang w:val="en-US" w:eastAsia="zh-CN"/>
        </w:rPr>
        <w:t>1.29</w:t>
      </w:r>
      <w:r>
        <w:rPr>
          <w:rFonts w:hint="eastAsia" w:cs="黑体" w:asciiTheme="minorEastAsia" w:hAnsiTheme="minorEastAsia"/>
          <w:color w:val="000000"/>
          <w:kern w:val="0"/>
          <w:sz w:val="32"/>
          <w:szCs w:val="32"/>
        </w:rPr>
        <w:t>万元，用于开展</w:t>
      </w:r>
      <w:r>
        <w:rPr>
          <w:rFonts w:hint="eastAsia" w:cs="黑体" w:asciiTheme="minorEastAsia" w:hAnsiTheme="minorEastAsia"/>
          <w:color w:val="000000"/>
          <w:kern w:val="0"/>
          <w:sz w:val="32"/>
          <w:szCs w:val="32"/>
          <w:lang w:eastAsia="zh-CN"/>
        </w:rPr>
        <w:t>业务</w:t>
      </w:r>
      <w:r>
        <w:rPr>
          <w:rFonts w:hint="eastAsia" w:cs="黑体" w:asciiTheme="minorEastAsia" w:hAnsiTheme="minorEastAsia"/>
          <w:color w:val="000000"/>
          <w:kern w:val="0"/>
          <w:sz w:val="32"/>
          <w:szCs w:val="32"/>
        </w:rPr>
        <w:t>培训，人数</w:t>
      </w:r>
      <w:r>
        <w:rPr>
          <w:rFonts w:hint="eastAsia" w:cs="黑体" w:asciiTheme="minorEastAsia" w:hAnsiTheme="minorEastAsia"/>
          <w:color w:val="000000"/>
          <w:kern w:val="0"/>
          <w:sz w:val="32"/>
          <w:szCs w:val="32"/>
          <w:lang w:val="en-US" w:eastAsia="zh-CN"/>
        </w:rPr>
        <w:t>145</w:t>
      </w:r>
      <w:r>
        <w:rPr>
          <w:rFonts w:hint="eastAsia" w:cs="黑体" w:asciiTheme="minorEastAsia" w:hAnsiTheme="minorEastAsia"/>
          <w:color w:val="000000"/>
          <w:kern w:val="0"/>
          <w:sz w:val="32"/>
          <w:szCs w:val="32"/>
        </w:rPr>
        <w:t>人，内容为</w:t>
      </w:r>
      <w:r>
        <w:rPr>
          <w:rFonts w:hint="eastAsia" w:cs="黑体" w:asciiTheme="minorEastAsia" w:hAnsiTheme="minorEastAsia"/>
          <w:color w:val="000000"/>
          <w:kern w:val="0"/>
          <w:sz w:val="32"/>
          <w:szCs w:val="32"/>
          <w:lang w:eastAsia="zh-CN"/>
        </w:rPr>
        <w:t>退役军人事务业务工作培训及涉军信访业务培训</w:t>
      </w:r>
      <w:r>
        <w:rPr>
          <w:rFonts w:hint="eastAsia" w:cs="黑体" w:asciiTheme="minorEastAsia" w:hAnsiTheme="minorEastAsia"/>
          <w:color w:val="000000"/>
          <w:kern w:val="0"/>
          <w:sz w:val="32"/>
          <w:szCs w:val="32"/>
        </w:rPr>
        <w:t>。</w:t>
      </w:r>
    </w:p>
    <w:p>
      <w:pPr>
        <w:keepNext w:val="0"/>
        <w:keepLines w:val="0"/>
        <w:pageBreakBefore w:val="0"/>
        <w:widowControl w:val="0"/>
        <w:kinsoku/>
        <w:wordWrap/>
        <w:overflowPunct/>
        <w:topLinePunct w:val="0"/>
        <w:bidi w:val="0"/>
        <w:snapToGrid/>
        <w:ind w:firstLine="640" w:firstLineChars="200"/>
        <w:textAlignment w:val="auto"/>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（三）政府采购支出情况</w:t>
      </w:r>
    </w:p>
    <w:p>
      <w:pPr>
        <w:keepNext w:val="0"/>
        <w:keepLines w:val="0"/>
        <w:pageBreakBefore w:val="0"/>
        <w:widowControl w:val="0"/>
        <w:kinsoku/>
        <w:wordWrap/>
        <w:overflowPunct/>
        <w:topLinePunct w:val="0"/>
        <w:bidi w:val="0"/>
        <w:snapToGrid/>
        <w:ind w:firstLine="640" w:firstLineChars="200"/>
        <w:textAlignment w:val="auto"/>
        <w:rPr>
          <w:rFonts w:hint="eastAsia" w:cs="黑体" w:asciiTheme="minorEastAsia" w:hAnsiTheme="minorEastAsia" w:eastAsiaTheme="minorEastAsia"/>
          <w:i/>
          <w:color w:val="FF0000"/>
          <w:kern w:val="0"/>
          <w:sz w:val="32"/>
          <w:szCs w:val="32"/>
          <w:lang w:eastAsia="zh-CN"/>
        </w:rPr>
      </w:pPr>
      <w:r>
        <w:rPr>
          <w:rFonts w:hint="eastAsia" w:cs="黑体" w:asciiTheme="minorEastAsia" w:hAnsiTheme="minorEastAsia"/>
          <w:color w:val="000000"/>
          <w:kern w:val="0"/>
          <w:sz w:val="32"/>
          <w:szCs w:val="32"/>
        </w:rPr>
        <w:t>本部门2019年度政府</w:t>
      </w:r>
      <w:r>
        <w:rPr>
          <w:rFonts w:hint="eastAsia" w:cs="黑体" w:asciiTheme="minorEastAsia" w:hAnsiTheme="minorEastAsia"/>
          <w:color w:val="000000"/>
          <w:kern w:val="0"/>
          <w:sz w:val="32"/>
          <w:szCs w:val="32"/>
          <w:lang w:eastAsia="zh-CN"/>
        </w:rPr>
        <w:t>无</w:t>
      </w:r>
      <w:r>
        <w:rPr>
          <w:rFonts w:hint="eastAsia" w:cs="黑体" w:asciiTheme="minorEastAsia" w:hAnsiTheme="minorEastAsia"/>
          <w:color w:val="000000"/>
          <w:kern w:val="0"/>
          <w:sz w:val="32"/>
          <w:szCs w:val="32"/>
        </w:rPr>
        <w:t>采购支出</w:t>
      </w:r>
      <w:r>
        <w:rPr>
          <w:rFonts w:hint="eastAsia" w:cs="黑体" w:asciiTheme="minorEastAsia" w:hAnsiTheme="minorEastAsia"/>
          <w:color w:val="000000"/>
          <w:kern w:val="0"/>
          <w:sz w:val="32"/>
          <w:szCs w:val="32"/>
          <w:lang w:eastAsia="zh-CN"/>
        </w:rPr>
        <w:t>，服务类采购预算0万元，授予小微企业合同金额0万元，占政府采购支出总额的0%。</w:t>
      </w:r>
      <w:bookmarkStart w:id="2" w:name="_GoBack"/>
      <w:bookmarkEnd w:id="2"/>
    </w:p>
    <w:p>
      <w:pPr>
        <w:keepNext w:val="0"/>
        <w:keepLines w:val="0"/>
        <w:pageBreakBefore w:val="0"/>
        <w:widowControl w:val="0"/>
        <w:kinsoku/>
        <w:wordWrap/>
        <w:overflowPunct/>
        <w:topLinePunct w:val="0"/>
        <w:bidi w:val="0"/>
        <w:snapToGrid/>
        <w:ind w:firstLine="640" w:firstLineChars="200"/>
        <w:textAlignment w:val="auto"/>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（四）国有资产占用情况</w:t>
      </w:r>
    </w:p>
    <w:p>
      <w:pPr>
        <w:keepNext w:val="0"/>
        <w:keepLines w:val="0"/>
        <w:pageBreakBefore w:val="0"/>
        <w:widowControl w:val="0"/>
        <w:kinsoku/>
        <w:wordWrap/>
        <w:overflowPunct/>
        <w:topLinePunct w:val="0"/>
        <w:bidi w:val="0"/>
        <w:snapToGrid/>
        <w:ind w:firstLine="640" w:firstLineChars="200"/>
        <w:textAlignment w:val="auto"/>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截至2019年12月31日，本单位</w:t>
      </w:r>
      <w:r>
        <w:rPr>
          <w:rFonts w:hint="eastAsia" w:cs="黑体" w:asciiTheme="minorEastAsia" w:hAnsiTheme="minorEastAsia"/>
          <w:color w:val="000000"/>
          <w:kern w:val="0"/>
          <w:sz w:val="32"/>
          <w:szCs w:val="32"/>
          <w:lang w:eastAsia="zh-CN"/>
        </w:rPr>
        <w:t>无</w:t>
      </w:r>
      <w:r>
        <w:rPr>
          <w:rFonts w:hint="eastAsia" w:cs="黑体" w:asciiTheme="minorEastAsia" w:hAnsiTheme="minorEastAsia"/>
          <w:color w:val="000000"/>
          <w:kern w:val="0"/>
          <w:sz w:val="32"/>
          <w:szCs w:val="32"/>
        </w:rPr>
        <w:t>车辆</w:t>
      </w:r>
      <w:r>
        <w:rPr>
          <w:rFonts w:hint="eastAsia" w:cs="黑体" w:asciiTheme="minorEastAsia" w:hAnsiTheme="minorEastAsia"/>
          <w:color w:val="000000"/>
          <w:kern w:val="0"/>
          <w:sz w:val="32"/>
          <w:szCs w:val="32"/>
          <w:lang w:eastAsia="zh-CN"/>
        </w:rPr>
        <w:t>、无</w:t>
      </w:r>
      <w:r>
        <w:rPr>
          <w:rFonts w:hint="eastAsia" w:cs="黑体" w:asciiTheme="minorEastAsia" w:hAnsiTheme="minorEastAsia"/>
          <w:color w:val="000000"/>
          <w:kern w:val="0"/>
          <w:sz w:val="32"/>
          <w:szCs w:val="32"/>
        </w:rPr>
        <w:t>单位价值50万元以上通用设备</w:t>
      </w:r>
      <w:r>
        <w:rPr>
          <w:rFonts w:hint="eastAsia" w:cs="黑体" w:asciiTheme="minorEastAsia" w:hAnsiTheme="minorEastAsia"/>
          <w:color w:val="000000"/>
          <w:kern w:val="0"/>
          <w:sz w:val="32"/>
          <w:szCs w:val="32"/>
          <w:lang w:val="en-US" w:eastAsia="zh-CN"/>
        </w:rPr>
        <w:t>和</w:t>
      </w:r>
      <w:r>
        <w:rPr>
          <w:rFonts w:hint="eastAsia" w:cs="黑体" w:asciiTheme="minorEastAsia" w:hAnsiTheme="minorEastAsia"/>
          <w:color w:val="000000"/>
          <w:kern w:val="0"/>
          <w:sz w:val="32"/>
          <w:szCs w:val="32"/>
        </w:rPr>
        <w:t>单位价值100万元以上专用设备。</w:t>
      </w:r>
    </w:p>
    <w:p>
      <w:pPr>
        <w:widowControl/>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br w:type="page"/>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rPr>
          <w:color w:val="303030"/>
        </w:rPr>
      </w:pPr>
      <w:r>
        <w:rPr>
          <w:rFonts w:hint="default" w:ascii="仿宋_GB2312" w:hAnsi="微软雅黑" w:eastAsia="仿宋_GB2312" w:cs="仿宋_GB2312"/>
          <w:i w:val="0"/>
          <w:caps w:val="0"/>
          <w:color w:val="000000"/>
          <w:spacing w:val="0"/>
          <w:kern w:val="0"/>
          <w:sz w:val="28"/>
          <w:szCs w:val="28"/>
          <w:shd w:val="clear" w:fill="FFFFFF"/>
          <w:lang w:val="en-US" w:eastAsia="zh-CN" w:bidi="ar"/>
        </w:rPr>
        <w:t>1、机关行政运行经费：指保障机构正常运转，完成日常工作发生的各项支出，包括人员支出和公用经费，包括办公及印刷费、邮电费、差旅费、会议费、福利费、公会费、日常维修费、专用材料及一般设备购置费、水电费、公务车运行维护费以及其他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700"/>
        <w:jc w:val="left"/>
        <w:rPr>
          <w:color w:val="303030"/>
        </w:rPr>
      </w:pPr>
      <w:r>
        <w:rPr>
          <w:rFonts w:hint="default" w:ascii="仿宋_GB2312" w:hAnsi="微软雅黑" w:eastAsia="仿宋_GB2312" w:cs="仿宋_GB2312"/>
          <w:i w:val="0"/>
          <w:caps w:val="0"/>
          <w:color w:val="000000"/>
          <w:spacing w:val="0"/>
          <w:kern w:val="0"/>
          <w:sz w:val="28"/>
          <w:szCs w:val="28"/>
          <w:shd w:val="clear" w:fill="FFFFFF"/>
          <w:lang w:val="en-US" w:eastAsia="zh-CN" w:bidi="ar"/>
        </w:rPr>
        <w:t>2、“三公”经费：是指通过财政拨款资金安排的因公出国（境）费、公务车购置及运行费、公务接待支出。其中：因公出国（境）费反映单位因公出国（境）的国际费用，国外城市间交通费、住宿费、伙食费、培训费、公杂费等支出；公务用车购置及运行费反映单位因公务用车车辆购置支出（含车辆购置税）及租用费、燃料费、维修费、过路过桥费、保险费、安全奖励费用等支出；公务接待费反映单位按中央和省委省政府相关规定开支的各类公务接待（含外宾接待）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700"/>
        <w:jc w:val="left"/>
        <w:rPr>
          <w:color w:val="303030"/>
        </w:rPr>
      </w:pPr>
      <w:r>
        <w:rPr>
          <w:rFonts w:hint="default" w:ascii="仿宋_GB2312" w:hAnsi="微软雅黑" w:eastAsia="仿宋_GB2312" w:cs="仿宋_GB2312"/>
          <w:i w:val="0"/>
          <w:caps w:val="0"/>
          <w:color w:val="333333"/>
          <w:spacing w:val="0"/>
          <w:kern w:val="0"/>
          <w:sz w:val="28"/>
          <w:szCs w:val="28"/>
          <w:shd w:val="clear" w:fill="FFFFFF"/>
          <w:lang w:val="en-US" w:eastAsia="zh-CN" w:bidi="ar"/>
        </w:rPr>
        <w:t>3、基本支出：指为保障机构正常运转、完成日常工作任务而发生的各项支出，包括人员支出和公用支出。</w:t>
      </w:r>
    </w:p>
    <w:p>
      <w:pPr>
        <w:widowControl/>
        <w:jc w:val="left"/>
        <w:rPr>
          <w:rFonts w:asciiTheme="minorEastAsia" w:hAnsiTheme="minorEastAsia"/>
          <w:i/>
          <w:color w:val="FF0000"/>
          <w:sz w:val="32"/>
          <w:szCs w:val="32"/>
        </w:rPr>
      </w:pPr>
      <w:r>
        <w:rPr>
          <w:rFonts w:hint="default" w:ascii="仿宋_GB2312" w:hAnsi="微软雅黑" w:eastAsia="仿宋_GB2312" w:cs="仿宋_GB2312"/>
          <w:i w:val="0"/>
          <w:caps w:val="0"/>
          <w:color w:val="333333"/>
          <w:spacing w:val="0"/>
          <w:kern w:val="0"/>
          <w:sz w:val="28"/>
          <w:szCs w:val="28"/>
          <w:shd w:val="clear" w:fill="FFFFFF"/>
          <w:lang w:val="en-US" w:eastAsia="zh-CN" w:bidi="ar"/>
        </w:rPr>
        <w:t> </w:t>
      </w:r>
      <w:r>
        <w:rPr>
          <w:rFonts w:asciiTheme="minorEastAsia" w:hAnsiTheme="minorEastAsia"/>
          <w:i/>
          <w:color w:val="FF0000"/>
          <w:sz w:val="32"/>
          <w:szCs w:val="32"/>
        </w:rPr>
        <w:br w:type="page"/>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adjustRightInd w:val="0"/>
        <w:spacing w:line="600" w:lineRule="exact"/>
        <w:ind w:right="641"/>
        <w:jc w:val="center"/>
        <w:rPr>
          <w:rFonts w:hint="eastAsia" w:eastAsia="黑体"/>
          <w:color w:val="auto"/>
          <w:sz w:val="44"/>
          <w:szCs w:val="44"/>
        </w:rPr>
      </w:pPr>
      <w:r>
        <w:rPr>
          <w:rFonts w:hint="eastAsia" w:eastAsia="黑体"/>
          <w:color w:val="auto"/>
          <w:sz w:val="44"/>
          <w:szCs w:val="44"/>
          <w:lang w:eastAsia="zh-CN"/>
        </w:rPr>
        <w:t>洞口县退役军人事务局</w:t>
      </w:r>
      <w:r>
        <w:rPr>
          <w:rFonts w:hint="eastAsia" w:eastAsia="黑体"/>
          <w:color w:val="auto"/>
          <w:sz w:val="44"/>
          <w:szCs w:val="44"/>
        </w:rPr>
        <w:t>部门整体支出</w:t>
      </w:r>
    </w:p>
    <w:p>
      <w:pPr>
        <w:adjustRightInd w:val="0"/>
        <w:spacing w:line="600" w:lineRule="exact"/>
        <w:ind w:right="641"/>
        <w:jc w:val="center"/>
        <w:rPr>
          <w:rFonts w:ascii="Calibri" w:hAnsi="Calibri" w:eastAsia="黑体"/>
          <w:color w:val="auto"/>
          <w:sz w:val="44"/>
          <w:szCs w:val="44"/>
        </w:rPr>
      </w:pPr>
      <w:r>
        <w:rPr>
          <w:rFonts w:hint="eastAsia" w:eastAsia="黑体"/>
          <w:color w:val="auto"/>
          <w:sz w:val="44"/>
          <w:szCs w:val="44"/>
        </w:rPr>
        <w:t>绩效评价报告</w:t>
      </w:r>
    </w:p>
    <w:p>
      <w:pPr>
        <w:adjustRightInd w:val="0"/>
        <w:snapToGrid w:val="0"/>
        <w:spacing w:line="600" w:lineRule="exact"/>
        <w:ind w:firstLine="420" w:firstLineChars="200"/>
        <w:rPr>
          <w:rFonts w:hint="eastAsia" w:ascii="宋体" w:hAnsi="宋体" w:eastAsia="宋体" w:cs="宋体"/>
          <w:color w:val="auto"/>
          <w:szCs w:val="32"/>
        </w:rPr>
      </w:pPr>
    </w:p>
    <w:p>
      <w:pPr>
        <w:adjustRightInd w:val="0"/>
        <w:snapToGrid w:val="0"/>
        <w:spacing w:line="600" w:lineRule="exact"/>
        <w:ind w:firstLine="640" w:firstLineChars="200"/>
        <w:rPr>
          <w:rFonts w:hint="eastAsia" w:ascii="宋体" w:hAnsi="宋体" w:eastAsia="宋体" w:cs="宋体"/>
          <w:b/>
          <w:bCs/>
          <w:color w:val="auto"/>
          <w:sz w:val="32"/>
          <w:szCs w:val="32"/>
        </w:rPr>
      </w:pPr>
      <w:r>
        <w:rPr>
          <w:rFonts w:hint="eastAsia" w:ascii="宋体" w:hAnsi="宋体" w:eastAsia="宋体" w:cs="宋体"/>
          <w:b/>
          <w:bCs/>
          <w:color w:val="auto"/>
          <w:sz w:val="32"/>
          <w:szCs w:val="32"/>
        </w:rPr>
        <w:t>一、部门概况</w:t>
      </w:r>
    </w:p>
    <w:p>
      <w:pPr>
        <w:adjustRightInd w:val="0"/>
        <w:snapToGrid w:val="0"/>
        <w:spacing w:line="600" w:lineRule="exact"/>
        <w:ind w:firstLine="640" w:firstLineChars="200"/>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（一）</w:t>
      </w:r>
      <w:r>
        <w:rPr>
          <w:rFonts w:hint="eastAsia" w:ascii="宋体" w:hAnsi="宋体" w:eastAsia="宋体" w:cs="宋体"/>
          <w:b/>
          <w:bCs/>
          <w:color w:val="auto"/>
          <w:sz w:val="32"/>
          <w:szCs w:val="32"/>
        </w:rPr>
        <w:t>部门基本情况</w:t>
      </w:r>
    </w:p>
    <w:p>
      <w:pPr>
        <w:pStyle w:val="5"/>
        <w:keepNext w:val="0"/>
        <w:keepLines w:val="0"/>
        <w:widowControl/>
        <w:suppressLineNumbers w:val="0"/>
        <w:spacing w:before="0" w:beforeAutospacing="0" w:after="0" w:afterAutospacing="0"/>
        <w:ind w:left="0" w:right="0" w:firstLine="640"/>
        <w:jc w:val="both"/>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洞口县退役军人事务局</w:t>
      </w:r>
      <w:r>
        <w:rPr>
          <w:rFonts w:hint="eastAsia" w:ascii="宋体" w:hAnsi="宋体" w:eastAsia="宋体" w:cs="宋体"/>
          <w:color w:val="auto"/>
          <w:sz w:val="32"/>
          <w:szCs w:val="32"/>
        </w:rPr>
        <w:t>行政编制人数</w:t>
      </w:r>
      <w:r>
        <w:rPr>
          <w:rFonts w:hint="eastAsia" w:ascii="宋体" w:hAnsi="宋体" w:eastAsia="宋体" w:cs="宋体"/>
          <w:color w:val="auto"/>
          <w:sz w:val="32"/>
          <w:szCs w:val="32"/>
          <w:lang w:val="en-US" w:eastAsia="zh-CN"/>
        </w:rPr>
        <w:t>7</w:t>
      </w:r>
      <w:r>
        <w:rPr>
          <w:rFonts w:hint="eastAsia" w:ascii="宋体" w:hAnsi="宋体" w:eastAsia="宋体" w:cs="宋体"/>
          <w:color w:val="auto"/>
          <w:sz w:val="32"/>
          <w:szCs w:val="32"/>
        </w:rPr>
        <w:t>人，事业编制人数</w:t>
      </w:r>
      <w:r>
        <w:rPr>
          <w:rFonts w:hint="eastAsia" w:ascii="宋体" w:hAnsi="宋体" w:eastAsia="宋体" w:cs="宋体"/>
          <w:color w:val="auto"/>
          <w:sz w:val="32"/>
          <w:szCs w:val="32"/>
          <w:lang w:val="en-US" w:eastAsia="zh-CN"/>
        </w:rPr>
        <w:t>16</w:t>
      </w:r>
      <w:r>
        <w:rPr>
          <w:rFonts w:hint="eastAsia" w:ascii="宋体" w:hAnsi="宋体" w:eastAsia="宋体" w:cs="宋体"/>
          <w:color w:val="auto"/>
          <w:sz w:val="32"/>
          <w:szCs w:val="32"/>
        </w:rPr>
        <w:t>人</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实有人数</w:t>
      </w:r>
      <w:r>
        <w:rPr>
          <w:rFonts w:hint="eastAsia" w:ascii="宋体" w:hAnsi="宋体" w:eastAsia="宋体" w:cs="宋体"/>
          <w:color w:val="auto"/>
          <w:sz w:val="32"/>
          <w:szCs w:val="32"/>
          <w:lang w:val="en-US" w:eastAsia="zh-CN"/>
        </w:rPr>
        <w:t>31</w:t>
      </w:r>
      <w:r>
        <w:rPr>
          <w:rFonts w:hint="eastAsia" w:ascii="宋体" w:hAnsi="宋体" w:eastAsia="宋体" w:cs="宋体"/>
          <w:color w:val="auto"/>
          <w:sz w:val="32"/>
          <w:szCs w:val="32"/>
        </w:rPr>
        <w:t>人。局机关设办公室、拥军优抚股、移交安置股、思想政治和权益维护股、规划财务股、就业创业股</w:t>
      </w:r>
      <w:r>
        <w:rPr>
          <w:rFonts w:hint="eastAsia" w:ascii="宋体" w:hAnsi="宋体" w:eastAsia="宋体" w:cs="宋体"/>
          <w:color w:val="auto"/>
          <w:sz w:val="32"/>
          <w:szCs w:val="32"/>
          <w:lang w:val="en-US" w:eastAsia="zh-CN"/>
        </w:rPr>
        <w:t>等6</w:t>
      </w:r>
      <w:r>
        <w:rPr>
          <w:rFonts w:hint="eastAsia" w:ascii="宋体" w:hAnsi="宋体" w:eastAsia="宋体" w:cs="宋体"/>
          <w:color w:val="auto"/>
          <w:sz w:val="32"/>
          <w:szCs w:val="32"/>
        </w:rPr>
        <w:t>个股室，下设</w:t>
      </w:r>
      <w:r>
        <w:rPr>
          <w:rFonts w:hint="eastAsia" w:ascii="宋体" w:hAnsi="宋体" w:eastAsia="宋体" w:cs="宋体"/>
          <w:color w:val="auto"/>
          <w:sz w:val="32"/>
          <w:szCs w:val="32"/>
          <w:lang w:val="en-US" w:eastAsia="zh-CN"/>
        </w:rPr>
        <w:t>3</w:t>
      </w:r>
      <w:r>
        <w:rPr>
          <w:rFonts w:hint="eastAsia" w:ascii="宋体" w:hAnsi="宋体" w:eastAsia="宋体" w:cs="宋体"/>
          <w:color w:val="auto"/>
          <w:sz w:val="32"/>
          <w:szCs w:val="32"/>
        </w:rPr>
        <w:t>个</w:t>
      </w:r>
      <w:r>
        <w:rPr>
          <w:rFonts w:hint="eastAsia" w:ascii="宋体" w:hAnsi="宋体" w:eastAsia="宋体" w:cs="宋体"/>
          <w:color w:val="auto"/>
          <w:sz w:val="32"/>
          <w:szCs w:val="32"/>
          <w:lang w:val="en-US" w:eastAsia="zh-CN"/>
        </w:rPr>
        <w:t>事业</w:t>
      </w:r>
      <w:r>
        <w:rPr>
          <w:rFonts w:hint="eastAsia" w:ascii="宋体" w:hAnsi="宋体" w:eastAsia="宋体" w:cs="宋体"/>
          <w:color w:val="auto"/>
          <w:sz w:val="32"/>
          <w:szCs w:val="32"/>
        </w:rPr>
        <w:t>单位，分别是退役军人服务中心</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军队离休退休干部休养所和光荣院。</w:t>
      </w:r>
    </w:p>
    <w:p>
      <w:pPr>
        <w:ind w:firstLine="640" w:firstLineChars="200"/>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（二）</w:t>
      </w:r>
      <w:r>
        <w:rPr>
          <w:rFonts w:hint="eastAsia" w:ascii="宋体" w:hAnsi="宋体" w:eastAsia="宋体" w:cs="宋体"/>
          <w:b/>
          <w:bCs/>
          <w:color w:val="auto"/>
          <w:sz w:val="32"/>
          <w:szCs w:val="32"/>
        </w:rPr>
        <w:t>部门职能职责</w:t>
      </w:r>
    </w:p>
    <w:p>
      <w:pPr>
        <w:pStyle w:val="5"/>
        <w:keepNext w:val="0"/>
        <w:keepLines w:val="0"/>
        <w:widowControl/>
        <w:suppressLineNumbers w:val="0"/>
        <w:spacing w:before="0" w:beforeAutospacing="0" w:after="0" w:afterAutospacing="0"/>
        <w:ind w:left="0" w:right="0" w:firstLine="640"/>
        <w:jc w:val="both"/>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1、</w:t>
      </w:r>
      <w:r>
        <w:rPr>
          <w:rFonts w:hint="eastAsia" w:ascii="宋体" w:hAnsi="宋体" w:eastAsia="宋体" w:cs="宋体"/>
          <w:color w:val="auto"/>
          <w:sz w:val="32"/>
          <w:szCs w:val="32"/>
        </w:rPr>
        <w:t>贯彻执行党和国家、省委省政府、市委市政府关于退役军人思想政治、管理保障和安置优抚等工作政策法规，拟订全县退役军人事务发展规划和政策，并组织实施；褒扬彰显退役军人为党、国家和人民牺牲奉献的精神风范和价值导向。</w:t>
      </w:r>
    </w:p>
    <w:p>
      <w:pPr>
        <w:pStyle w:val="5"/>
        <w:keepNext w:val="0"/>
        <w:keepLines w:val="0"/>
        <w:widowControl/>
        <w:suppressLineNumbers w:val="0"/>
        <w:spacing w:before="0" w:beforeAutospacing="0" w:after="0" w:afterAutospacing="0"/>
        <w:ind w:left="0" w:right="0" w:firstLine="640"/>
        <w:jc w:val="both"/>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2、</w:t>
      </w:r>
      <w:r>
        <w:rPr>
          <w:rFonts w:hint="eastAsia" w:ascii="宋体" w:hAnsi="宋体" w:eastAsia="宋体" w:cs="宋体"/>
          <w:color w:val="auto"/>
          <w:sz w:val="32"/>
          <w:szCs w:val="32"/>
        </w:rPr>
        <w:t>负责全县军队转业干部、复员干部、离休退休干部、退役士兵和无军籍退休退职职工的移交安置工作和自主择业、就业退役军人服务管理工作。</w:t>
      </w:r>
    </w:p>
    <w:p>
      <w:pPr>
        <w:pStyle w:val="5"/>
        <w:keepNext w:val="0"/>
        <w:keepLines w:val="0"/>
        <w:widowControl/>
        <w:suppressLineNumbers w:val="0"/>
        <w:spacing w:before="0" w:beforeAutospacing="0" w:after="0" w:afterAutospacing="0"/>
        <w:ind w:left="0" w:right="0" w:firstLine="640"/>
        <w:jc w:val="both"/>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3、</w:t>
      </w:r>
      <w:r>
        <w:rPr>
          <w:rFonts w:hint="eastAsia" w:ascii="宋体" w:hAnsi="宋体" w:eastAsia="宋体" w:cs="宋体"/>
          <w:color w:val="auto"/>
          <w:sz w:val="32"/>
          <w:szCs w:val="32"/>
        </w:rPr>
        <w:t>组织指导全县退役军人教育培训工作，协调扶持退役军人和随军随调家属就业创业。</w:t>
      </w:r>
    </w:p>
    <w:p>
      <w:pPr>
        <w:pStyle w:val="5"/>
        <w:keepNext w:val="0"/>
        <w:keepLines w:val="0"/>
        <w:widowControl/>
        <w:suppressLineNumbers w:val="0"/>
        <w:spacing w:before="0" w:beforeAutospacing="0" w:after="0" w:afterAutospacing="0"/>
        <w:ind w:left="0" w:right="0" w:firstLine="640"/>
        <w:jc w:val="both"/>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4、</w:t>
      </w:r>
      <w:r>
        <w:rPr>
          <w:rFonts w:hint="eastAsia" w:ascii="宋体" w:hAnsi="宋体" w:eastAsia="宋体" w:cs="宋体"/>
          <w:color w:val="auto"/>
          <w:sz w:val="32"/>
          <w:szCs w:val="32"/>
        </w:rPr>
        <w:t>贯彻落实国家、省、市关于退役军人的特殊保障政策，会同有关部门制定相关政策，并组织实施。</w:t>
      </w:r>
    </w:p>
    <w:p>
      <w:pPr>
        <w:pStyle w:val="5"/>
        <w:keepNext w:val="0"/>
        <w:keepLines w:val="0"/>
        <w:widowControl/>
        <w:suppressLineNumbers w:val="0"/>
        <w:spacing w:before="0" w:beforeAutospacing="0" w:after="0" w:afterAutospacing="0"/>
        <w:ind w:left="0" w:right="0" w:firstLine="640"/>
        <w:jc w:val="both"/>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5、</w:t>
      </w:r>
      <w:r>
        <w:rPr>
          <w:rFonts w:hint="eastAsia" w:ascii="宋体" w:hAnsi="宋体" w:eastAsia="宋体" w:cs="宋体"/>
          <w:color w:val="auto"/>
          <w:sz w:val="32"/>
          <w:szCs w:val="32"/>
        </w:rPr>
        <w:t>组织协调落实全县移交地方的离休退休军人、符合条件的其他退役军人和无军籍退休退职职工的住房保障工作，以及退役军人医疗保障、社会保险等待遇保障工作。</w:t>
      </w:r>
    </w:p>
    <w:p>
      <w:pPr>
        <w:pStyle w:val="5"/>
        <w:keepNext w:val="0"/>
        <w:keepLines w:val="0"/>
        <w:widowControl/>
        <w:suppressLineNumbers w:val="0"/>
        <w:spacing w:before="0" w:beforeAutospacing="0" w:after="0" w:afterAutospacing="0"/>
        <w:ind w:left="0" w:right="0" w:firstLine="640"/>
        <w:jc w:val="both"/>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6、</w:t>
      </w:r>
      <w:r>
        <w:rPr>
          <w:rFonts w:hint="eastAsia" w:ascii="宋体" w:hAnsi="宋体" w:eastAsia="宋体" w:cs="宋体"/>
          <w:color w:val="auto"/>
          <w:sz w:val="32"/>
          <w:szCs w:val="32"/>
        </w:rPr>
        <w:t>组织指导全县伤病残退役军人服务管理和抚恤工作，贯彻落实有关退役军人医疗、疗养、养老等机构的规划政策并指导实施。承担全县不适宜继续服役的伤病残军人相关工作。组织指导全县军供服务保障工作。</w:t>
      </w:r>
    </w:p>
    <w:p>
      <w:pPr>
        <w:pStyle w:val="5"/>
        <w:keepNext w:val="0"/>
        <w:keepLines w:val="0"/>
        <w:widowControl/>
        <w:suppressLineNumbers w:val="0"/>
        <w:spacing w:before="0" w:beforeAutospacing="0" w:after="0" w:afterAutospacing="0"/>
        <w:ind w:left="0" w:right="0" w:firstLine="640"/>
        <w:jc w:val="both"/>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7、</w:t>
      </w:r>
      <w:r>
        <w:rPr>
          <w:rFonts w:hint="eastAsia" w:ascii="宋体" w:hAnsi="宋体" w:eastAsia="宋体" w:cs="宋体"/>
          <w:color w:val="auto"/>
          <w:sz w:val="32"/>
          <w:szCs w:val="32"/>
        </w:rPr>
        <w:t>组织指导全县拥军优属工作。负责全县现役军人、退役军人、军队文职人员和军属优待、抚恤等工作；贯彻执行国家关于国民党抗战老兵等有关人员优待政策并指导实施。</w:t>
      </w:r>
    </w:p>
    <w:p>
      <w:pPr>
        <w:pStyle w:val="5"/>
        <w:keepNext w:val="0"/>
        <w:keepLines w:val="0"/>
        <w:widowControl/>
        <w:suppressLineNumbers w:val="0"/>
        <w:spacing w:before="0" w:beforeAutospacing="0" w:after="0" w:afterAutospacing="0"/>
        <w:ind w:left="0" w:right="0" w:firstLine="640"/>
        <w:jc w:val="both"/>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8、</w:t>
      </w:r>
      <w:r>
        <w:rPr>
          <w:rFonts w:hint="eastAsia" w:ascii="宋体" w:hAnsi="宋体" w:eastAsia="宋体" w:cs="宋体"/>
          <w:color w:val="auto"/>
          <w:sz w:val="32"/>
          <w:szCs w:val="32"/>
        </w:rPr>
        <w:t>负责全县烈士及退役军人荣誉奖励、军人公墓管理维护、纪念活动等工作，依法承担英雄烈士保护相关工作，审核拟列入县级保护单位的烈士纪念建筑物名录，总结表彰和宣扬退役军人、退役军人工作单位和个人先进典型事迹。</w:t>
      </w:r>
    </w:p>
    <w:p>
      <w:pPr>
        <w:pStyle w:val="5"/>
        <w:keepNext w:val="0"/>
        <w:keepLines w:val="0"/>
        <w:widowControl/>
        <w:suppressLineNumbers w:val="0"/>
        <w:spacing w:before="0" w:beforeAutospacing="0" w:after="0" w:afterAutospacing="0"/>
        <w:ind w:left="0" w:right="0" w:firstLine="640"/>
        <w:jc w:val="both"/>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9、</w:t>
      </w:r>
      <w:r>
        <w:rPr>
          <w:rFonts w:hint="eastAsia" w:ascii="宋体" w:hAnsi="宋体" w:eastAsia="宋体" w:cs="宋体"/>
          <w:color w:val="auto"/>
          <w:sz w:val="32"/>
          <w:szCs w:val="32"/>
        </w:rPr>
        <w:t>指导并监督检查关于退役军人相关法律法规和政策措施的落实；开展全县退役军人权益维护和有关人员的帮扶援助工作。</w:t>
      </w:r>
    </w:p>
    <w:p>
      <w:pPr>
        <w:pStyle w:val="5"/>
        <w:keepNext w:val="0"/>
        <w:keepLines w:val="0"/>
        <w:widowControl/>
        <w:suppressLineNumbers w:val="0"/>
        <w:spacing w:before="0" w:beforeAutospacing="0" w:after="0" w:afterAutospacing="0"/>
        <w:ind w:left="0" w:right="0" w:firstLine="640"/>
        <w:jc w:val="both"/>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10、</w:t>
      </w:r>
      <w:r>
        <w:rPr>
          <w:rFonts w:hint="eastAsia" w:ascii="宋体" w:hAnsi="宋体" w:eastAsia="宋体" w:cs="宋体"/>
          <w:color w:val="auto"/>
          <w:sz w:val="32"/>
          <w:szCs w:val="32"/>
        </w:rPr>
        <w:t>负责本行业、领域安全生产监督管理工作；</w:t>
      </w:r>
    </w:p>
    <w:p>
      <w:pPr>
        <w:adjustRightInd w:val="0"/>
        <w:snapToGrid w:val="0"/>
        <w:spacing w:line="60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11、</w:t>
      </w:r>
      <w:r>
        <w:rPr>
          <w:rFonts w:hint="eastAsia" w:ascii="宋体" w:hAnsi="宋体" w:eastAsia="宋体" w:cs="宋体"/>
          <w:color w:val="auto"/>
          <w:sz w:val="32"/>
          <w:szCs w:val="32"/>
        </w:rPr>
        <w:t>完成县委、县政府交办的其他任务。</w:t>
      </w:r>
    </w:p>
    <w:p>
      <w:pPr>
        <w:adjustRightInd w:val="0"/>
        <w:snapToGrid w:val="0"/>
        <w:spacing w:line="600" w:lineRule="exact"/>
        <w:ind w:firstLine="640" w:firstLineChars="200"/>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（三）</w:t>
      </w:r>
      <w:r>
        <w:rPr>
          <w:rFonts w:hint="eastAsia" w:ascii="宋体" w:hAnsi="宋体" w:eastAsia="宋体" w:cs="宋体"/>
          <w:b/>
          <w:bCs/>
          <w:color w:val="auto"/>
          <w:sz w:val="32"/>
          <w:szCs w:val="32"/>
        </w:rPr>
        <w:t>年度重点工作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both"/>
        <w:rPr>
          <w:rFonts w:hint="eastAsia" w:ascii="宋体" w:hAnsi="宋体" w:eastAsia="宋体" w:cs="宋体"/>
          <w:i w:val="0"/>
          <w:caps w:val="0"/>
          <w:color w:val="auto"/>
          <w:spacing w:val="0"/>
          <w:sz w:val="32"/>
          <w:szCs w:val="32"/>
        </w:rPr>
      </w:pPr>
      <w:r>
        <w:rPr>
          <w:rFonts w:hint="eastAsia" w:ascii="宋体" w:hAnsi="宋体" w:eastAsia="宋体" w:cs="宋体"/>
          <w:i w:val="0"/>
          <w:caps w:val="0"/>
          <w:color w:val="auto"/>
          <w:spacing w:val="0"/>
          <w:sz w:val="32"/>
          <w:szCs w:val="32"/>
          <w:shd w:val="clear" w:color="auto" w:fill="FFFFFF"/>
          <w:lang w:val="en-US" w:eastAsia="zh-CN"/>
        </w:rPr>
        <w:t>1</w:t>
      </w:r>
      <w:r>
        <w:rPr>
          <w:rFonts w:hint="eastAsia" w:ascii="宋体" w:hAnsi="宋体" w:eastAsia="宋体" w:cs="宋体"/>
          <w:i w:val="0"/>
          <w:caps w:val="0"/>
          <w:color w:val="auto"/>
          <w:spacing w:val="0"/>
          <w:sz w:val="32"/>
          <w:szCs w:val="32"/>
          <w:shd w:val="clear" w:color="auto" w:fill="FFFFFF"/>
        </w:rPr>
        <w:t>、以政治思想工作为引领，全面加强党的建设。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both"/>
        <w:rPr>
          <w:rFonts w:hint="eastAsia" w:ascii="宋体" w:hAnsi="宋体" w:eastAsia="宋体" w:cs="宋体"/>
          <w:i w:val="0"/>
          <w:caps w:val="0"/>
          <w:color w:val="auto"/>
          <w:spacing w:val="0"/>
          <w:sz w:val="32"/>
          <w:szCs w:val="32"/>
        </w:rPr>
      </w:pPr>
      <w:r>
        <w:rPr>
          <w:rFonts w:hint="eastAsia" w:ascii="宋体" w:hAnsi="宋体" w:eastAsia="宋体" w:cs="宋体"/>
          <w:i w:val="0"/>
          <w:caps w:val="0"/>
          <w:color w:val="auto"/>
          <w:spacing w:val="0"/>
          <w:sz w:val="32"/>
          <w:szCs w:val="32"/>
          <w:shd w:val="clear" w:color="auto" w:fill="FFFFFF"/>
          <w:lang w:val="en-US" w:eastAsia="zh-CN"/>
        </w:rPr>
        <w:t>2</w:t>
      </w:r>
      <w:r>
        <w:rPr>
          <w:rFonts w:hint="eastAsia" w:ascii="宋体" w:hAnsi="宋体" w:eastAsia="宋体" w:cs="宋体"/>
          <w:i w:val="0"/>
          <w:caps w:val="0"/>
          <w:color w:val="auto"/>
          <w:spacing w:val="0"/>
          <w:sz w:val="32"/>
          <w:szCs w:val="32"/>
          <w:shd w:val="clear" w:color="auto" w:fill="FFFFFF"/>
        </w:rPr>
        <w:t>、以组织建设为保障，强化基层基础。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both"/>
        <w:rPr>
          <w:rFonts w:hint="eastAsia" w:ascii="宋体" w:hAnsi="宋体" w:eastAsia="宋体" w:cs="宋体"/>
          <w:i w:val="0"/>
          <w:caps w:val="0"/>
          <w:color w:val="auto"/>
          <w:spacing w:val="0"/>
          <w:sz w:val="32"/>
          <w:szCs w:val="32"/>
        </w:rPr>
      </w:pPr>
      <w:r>
        <w:rPr>
          <w:rFonts w:hint="eastAsia" w:ascii="宋体" w:hAnsi="宋体" w:eastAsia="宋体" w:cs="宋体"/>
          <w:i w:val="0"/>
          <w:caps w:val="0"/>
          <w:color w:val="auto"/>
          <w:spacing w:val="0"/>
          <w:sz w:val="32"/>
          <w:szCs w:val="32"/>
          <w:shd w:val="clear" w:color="auto" w:fill="FFFFFF"/>
          <w:lang w:val="en-US" w:eastAsia="zh-CN"/>
        </w:rPr>
        <w:t>3</w:t>
      </w:r>
      <w:r>
        <w:rPr>
          <w:rFonts w:hint="eastAsia" w:ascii="宋体" w:hAnsi="宋体" w:eastAsia="宋体" w:cs="宋体"/>
          <w:i w:val="0"/>
          <w:caps w:val="0"/>
          <w:color w:val="auto"/>
          <w:spacing w:val="0"/>
          <w:sz w:val="32"/>
          <w:szCs w:val="32"/>
          <w:shd w:val="clear" w:color="auto" w:fill="FFFFFF"/>
        </w:rPr>
        <w:t>、以移交安置为基础，大力推进就业创业。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both"/>
        <w:rPr>
          <w:rFonts w:hint="eastAsia" w:ascii="宋体" w:hAnsi="宋体" w:eastAsia="宋体" w:cs="宋体"/>
          <w:i w:val="0"/>
          <w:caps w:val="0"/>
          <w:color w:val="auto"/>
          <w:spacing w:val="0"/>
          <w:sz w:val="32"/>
          <w:szCs w:val="32"/>
          <w:shd w:val="clear" w:color="auto" w:fill="FFFFFF"/>
        </w:rPr>
      </w:pPr>
      <w:r>
        <w:rPr>
          <w:rFonts w:hint="eastAsia" w:ascii="宋体" w:hAnsi="宋体" w:eastAsia="宋体" w:cs="宋体"/>
          <w:i w:val="0"/>
          <w:caps w:val="0"/>
          <w:color w:val="auto"/>
          <w:spacing w:val="0"/>
          <w:sz w:val="32"/>
          <w:szCs w:val="32"/>
          <w:shd w:val="clear" w:color="auto" w:fill="FFFFFF"/>
          <w:lang w:val="en-US" w:eastAsia="zh-CN"/>
        </w:rPr>
        <w:t>4</w:t>
      </w:r>
      <w:r>
        <w:rPr>
          <w:rFonts w:hint="eastAsia" w:ascii="宋体" w:hAnsi="宋体" w:eastAsia="宋体" w:cs="宋体"/>
          <w:i w:val="0"/>
          <w:caps w:val="0"/>
          <w:color w:val="auto"/>
          <w:spacing w:val="0"/>
          <w:sz w:val="32"/>
          <w:szCs w:val="32"/>
          <w:shd w:val="clear" w:color="auto" w:fill="FFFFFF"/>
        </w:rPr>
        <w:t>、以拥军优抚为重点，全面提升优抚对象的获得感。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both"/>
        <w:rPr>
          <w:rFonts w:hint="eastAsia" w:ascii="宋体" w:hAnsi="宋体" w:eastAsia="宋体" w:cs="宋体"/>
          <w:i w:val="0"/>
          <w:caps w:val="0"/>
          <w:color w:val="auto"/>
          <w:spacing w:val="0"/>
          <w:sz w:val="32"/>
          <w:szCs w:val="32"/>
          <w:shd w:val="clear" w:color="auto" w:fill="FFFFFF"/>
        </w:rPr>
      </w:pPr>
      <w:r>
        <w:rPr>
          <w:rFonts w:hint="eastAsia" w:ascii="宋体" w:hAnsi="宋体" w:eastAsia="宋体" w:cs="宋体"/>
          <w:i w:val="0"/>
          <w:caps w:val="0"/>
          <w:color w:val="auto"/>
          <w:spacing w:val="0"/>
          <w:sz w:val="32"/>
          <w:szCs w:val="32"/>
          <w:shd w:val="clear" w:color="auto" w:fill="FFFFFF"/>
          <w:lang w:val="en-US" w:eastAsia="zh-CN"/>
        </w:rPr>
        <w:t>5</w:t>
      </w:r>
      <w:r>
        <w:rPr>
          <w:rFonts w:hint="eastAsia" w:ascii="宋体" w:hAnsi="宋体" w:eastAsia="宋体" w:cs="宋体"/>
          <w:i w:val="0"/>
          <w:caps w:val="0"/>
          <w:color w:val="auto"/>
          <w:spacing w:val="0"/>
          <w:sz w:val="32"/>
          <w:szCs w:val="32"/>
          <w:shd w:val="clear" w:color="auto" w:fill="FFFFFF"/>
        </w:rPr>
        <w:t>、以英雄模范为榜样，大力弘扬英烈精神。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both"/>
        <w:rPr>
          <w:rFonts w:hint="eastAsia" w:ascii="宋体" w:hAnsi="宋体" w:eastAsia="宋体" w:cs="宋体"/>
          <w:i w:val="0"/>
          <w:caps w:val="0"/>
          <w:color w:val="auto"/>
          <w:spacing w:val="0"/>
          <w:sz w:val="32"/>
          <w:szCs w:val="32"/>
        </w:rPr>
      </w:pPr>
      <w:r>
        <w:rPr>
          <w:rFonts w:hint="eastAsia" w:ascii="宋体" w:hAnsi="宋体" w:eastAsia="宋体" w:cs="宋体"/>
          <w:i w:val="0"/>
          <w:caps w:val="0"/>
          <w:color w:val="auto"/>
          <w:spacing w:val="0"/>
          <w:sz w:val="32"/>
          <w:szCs w:val="32"/>
          <w:shd w:val="clear" w:color="auto" w:fill="FFFFFF"/>
          <w:lang w:val="en-US" w:eastAsia="zh-CN"/>
        </w:rPr>
        <w:t>6</w:t>
      </w:r>
      <w:r>
        <w:rPr>
          <w:rFonts w:hint="eastAsia" w:ascii="宋体" w:hAnsi="宋体" w:eastAsia="宋体" w:cs="宋体"/>
          <w:i w:val="0"/>
          <w:caps w:val="0"/>
          <w:color w:val="auto"/>
          <w:spacing w:val="0"/>
          <w:sz w:val="32"/>
          <w:szCs w:val="32"/>
          <w:shd w:val="clear" w:color="auto" w:fill="FFFFFF"/>
        </w:rPr>
        <w:t>、以维权帮扶为手段，增进感情化解矛盾。</w:t>
      </w:r>
    </w:p>
    <w:p>
      <w:pPr>
        <w:widowControl/>
        <w:spacing w:line="520" w:lineRule="exact"/>
        <w:ind w:firstLine="640"/>
        <w:rPr>
          <w:rFonts w:hint="eastAsia" w:ascii="宋体" w:hAnsi="宋体" w:eastAsia="宋体" w:cs="宋体"/>
          <w:b/>
          <w:bCs/>
          <w:color w:val="auto"/>
          <w:kern w:val="0"/>
          <w:sz w:val="32"/>
          <w:szCs w:val="32"/>
        </w:rPr>
      </w:pPr>
      <w:r>
        <w:rPr>
          <w:rFonts w:hint="eastAsia" w:ascii="宋体" w:hAnsi="宋体" w:eastAsia="宋体" w:cs="宋体"/>
          <w:b/>
          <w:bCs/>
          <w:color w:val="auto"/>
          <w:sz w:val="32"/>
          <w:szCs w:val="32"/>
          <w:lang w:eastAsia="zh-CN"/>
        </w:rPr>
        <w:t>（四）</w:t>
      </w:r>
      <w:r>
        <w:rPr>
          <w:rFonts w:hint="eastAsia" w:ascii="宋体" w:hAnsi="宋体" w:eastAsia="宋体" w:cs="宋体"/>
          <w:b/>
          <w:bCs/>
          <w:color w:val="auto"/>
          <w:sz w:val="32"/>
          <w:szCs w:val="32"/>
        </w:rPr>
        <w:t>部门整体支出规模、使用方向和主要内容</w:t>
      </w:r>
    </w:p>
    <w:p>
      <w:pPr>
        <w:widowControl/>
        <w:spacing w:line="520" w:lineRule="exact"/>
        <w:ind w:firstLine="643"/>
        <w:rPr>
          <w:rFonts w:hint="eastAsia" w:ascii="宋体" w:hAnsi="宋体" w:eastAsia="宋体" w:cs="宋体"/>
          <w:b w:val="0"/>
          <w:bCs/>
          <w:color w:val="auto"/>
          <w:kern w:val="0"/>
          <w:sz w:val="32"/>
          <w:szCs w:val="32"/>
        </w:rPr>
      </w:pPr>
      <w:r>
        <w:rPr>
          <w:rFonts w:hint="eastAsia" w:ascii="宋体" w:hAnsi="宋体" w:eastAsia="宋体" w:cs="宋体"/>
          <w:b w:val="0"/>
          <w:bCs/>
          <w:color w:val="auto"/>
          <w:sz w:val="32"/>
          <w:szCs w:val="32"/>
          <w:lang w:val="en-US" w:eastAsia="zh-CN"/>
        </w:rPr>
        <w:t>1</w:t>
      </w:r>
      <w:r>
        <w:rPr>
          <w:rFonts w:hint="eastAsia" w:ascii="宋体" w:hAnsi="宋体" w:eastAsia="宋体" w:cs="宋体"/>
          <w:b w:val="0"/>
          <w:bCs/>
          <w:color w:val="auto"/>
          <w:kern w:val="0"/>
          <w:sz w:val="32"/>
          <w:szCs w:val="32"/>
        </w:rPr>
        <w:t>、201</w:t>
      </w:r>
      <w:r>
        <w:rPr>
          <w:rFonts w:hint="eastAsia" w:ascii="宋体" w:hAnsi="宋体" w:eastAsia="宋体" w:cs="宋体"/>
          <w:b w:val="0"/>
          <w:bCs/>
          <w:color w:val="auto"/>
          <w:kern w:val="0"/>
          <w:sz w:val="32"/>
          <w:szCs w:val="32"/>
          <w:lang w:val="en-US" w:eastAsia="zh-CN"/>
        </w:rPr>
        <w:t>9</w:t>
      </w:r>
      <w:r>
        <w:rPr>
          <w:rFonts w:hint="eastAsia" w:ascii="宋体" w:hAnsi="宋体" w:eastAsia="宋体" w:cs="宋体"/>
          <w:b w:val="0"/>
          <w:bCs/>
          <w:color w:val="auto"/>
          <w:kern w:val="0"/>
          <w:sz w:val="32"/>
          <w:szCs w:val="32"/>
        </w:rPr>
        <w:t>年年初预算资金情况</w:t>
      </w:r>
    </w:p>
    <w:p>
      <w:pPr>
        <w:widowControl/>
        <w:spacing w:line="520" w:lineRule="exact"/>
        <w:ind w:firstLine="640"/>
        <w:rPr>
          <w:rFonts w:hint="eastAsia" w:ascii="宋体" w:hAnsi="宋体" w:eastAsia="宋体" w:cs="宋体"/>
          <w:b w:val="0"/>
          <w:bCs/>
          <w:color w:val="auto"/>
          <w:kern w:val="0"/>
          <w:sz w:val="32"/>
          <w:szCs w:val="32"/>
        </w:rPr>
      </w:pPr>
      <w:r>
        <w:rPr>
          <w:rFonts w:hint="eastAsia" w:ascii="宋体" w:hAnsi="宋体" w:eastAsia="宋体" w:cs="宋体"/>
          <w:b w:val="0"/>
          <w:bCs/>
          <w:color w:val="auto"/>
          <w:kern w:val="0"/>
          <w:sz w:val="32"/>
          <w:szCs w:val="32"/>
        </w:rPr>
        <w:t>根据洞口县财政局《关于批复201</w:t>
      </w:r>
      <w:r>
        <w:rPr>
          <w:rFonts w:hint="eastAsia" w:ascii="宋体" w:hAnsi="宋体" w:eastAsia="宋体" w:cs="宋体"/>
          <w:b w:val="0"/>
          <w:bCs/>
          <w:color w:val="auto"/>
          <w:kern w:val="0"/>
          <w:sz w:val="32"/>
          <w:szCs w:val="32"/>
          <w:lang w:val="en-US" w:eastAsia="zh-CN"/>
        </w:rPr>
        <w:t>9</w:t>
      </w:r>
      <w:r>
        <w:rPr>
          <w:rFonts w:hint="eastAsia" w:ascii="宋体" w:hAnsi="宋体" w:eastAsia="宋体" w:cs="宋体"/>
          <w:b w:val="0"/>
          <w:bCs/>
          <w:color w:val="auto"/>
          <w:kern w:val="0"/>
          <w:sz w:val="32"/>
          <w:szCs w:val="32"/>
        </w:rPr>
        <w:t>年部门预算的通知》，</w:t>
      </w:r>
      <w:r>
        <w:rPr>
          <w:rFonts w:hint="eastAsia" w:ascii="宋体" w:hAnsi="宋体" w:eastAsia="宋体" w:cs="宋体"/>
          <w:b w:val="0"/>
          <w:bCs/>
          <w:color w:val="auto"/>
          <w:kern w:val="0"/>
          <w:sz w:val="32"/>
          <w:szCs w:val="32"/>
          <w:lang w:eastAsia="zh-CN"/>
        </w:rPr>
        <w:t>我单位</w:t>
      </w:r>
      <w:r>
        <w:rPr>
          <w:rFonts w:hint="eastAsia" w:ascii="宋体" w:hAnsi="宋体" w:eastAsia="宋体" w:cs="宋体"/>
          <w:b w:val="0"/>
          <w:bCs/>
          <w:color w:val="auto"/>
          <w:kern w:val="0"/>
          <w:sz w:val="32"/>
          <w:szCs w:val="32"/>
        </w:rPr>
        <w:t>201</w:t>
      </w:r>
      <w:r>
        <w:rPr>
          <w:rFonts w:hint="eastAsia" w:ascii="宋体" w:hAnsi="宋体" w:eastAsia="宋体" w:cs="宋体"/>
          <w:b w:val="0"/>
          <w:bCs/>
          <w:color w:val="auto"/>
          <w:kern w:val="0"/>
          <w:sz w:val="32"/>
          <w:szCs w:val="32"/>
          <w:lang w:val="en-US" w:eastAsia="zh-CN"/>
        </w:rPr>
        <w:t>9</w:t>
      </w:r>
      <w:r>
        <w:rPr>
          <w:rFonts w:hint="eastAsia" w:ascii="宋体" w:hAnsi="宋体" w:eastAsia="宋体" w:cs="宋体"/>
          <w:b w:val="0"/>
          <w:bCs/>
          <w:color w:val="auto"/>
          <w:kern w:val="0"/>
          <w:sz w:val="32"/>
          <w:szCs w:val="32"/>
        </w:rPr>
        <w:t>年</w:t>
      </w:r>
      <w:r>
        <w:rPr>
          <w:rFonts w:hint="eastAsia" w:ascii="宋体" w:hAnsi="宋体" w:eastAsia="宋体" w:cs="宋体"/>
          <w:b w:val="0"/>
          <w:bCs/>
          <w:color w:val="auto"/>
          <w:kern w:val="0"/>
          <w:sz w:val="32"/>
          <w:szCs w:val="32"/>
          <w:lang w:eastAsia="zh-CN"/>
        </w:rPr>
        <w:t>财政</w:t>
      </w:r>
      <w:r>
        <w:rPr>
          <w:rFonts w:hint="eastAsia" w:ascii="宋体" w:hAnsi="宋体" w:eastAsia="宋体" w:cs="宋体"/>
          <w:b w:val="0"/>
          <w:bCs/>
          <w:color w:val="auto"/>
          <w:kern w:val="0"/>
          <w:sz w:val="32"/>
          <w:szCs w:val="32"/>
        </w:rPr>
        <w:t>预算情况：</w:t>
      </w:r>
      <w:r>
        <w:rPr>
          <w:rFonts w:hint="eastAsia" w:ascii="宋体" w:hAnsi="宋体" w:eastAsia="宋体" w:cs="宋体"/>
          <w:b w:val="0"/>
          <w:bCs/>
          <w:color w:val="auto"/>
          <w:kern w:val="0"/>
          <w:sz w:val="32"/>
          <w:szCs w:val="32"/>
          <w:lang w:eastAsia="zh-CN"/>
        </w:rPr>
        <w:t>年初财政预算收入</w:t>
      </w:r>
      <w:r>
        <w:rPr>
          <w:rFonts w:hint="eastAsia" w:ascii="宋体" w:hAnsi="宋体" w:eastAsia="宋体" w:cs="宋体"/>
          <w:b w:val="0"/>
          <w:bCs/>
          <w:color w:val="auto"/>
          <w:sz w:val="32"/>
          <w:szCs w:val="32"/>
          <w:lang w:val="en-US" w:eastAsia="zh-CN"/>
        </w:rPr>
        <w:t>428.59</w:t>
      </w:r>
      <w:r>
        <w:rPr>
          <w:rFonts w:hint="eastAsia" w:ascii="宋体" w:hAnsi="宋体" w:eastAsia="宋体" w:cs="宋体"/>
          <w:b w:val="0"/>
          <w:bCs/>
          <w:color w:val="auto"/>
          <w:kern w:val="0"/>
          <w:sz w:val="32"/>
          <w:szCs w:val="32"/>
          <w:lang w:val="en-US" w:eastAsia="zh-CN"/>
        </w:rPr>
        <w:t>万元。</w:t>
      </w:r>
    </w:p>
    <w:p>
      <w:pPr>
        <w:spacing w:line="520" w:lineRule="exact"/>
        <w:ind w:firstLine="640" w:firstLineChars="200"/>
        <w:rPr>
          <w:rFonts w:hint="eastAsia" w:ascii="宋体" w:hAnsi="宋体" w:eastAsia="宋体" w:cs="宋体"/>
          <w:b w:val="0"/>
          <w:bCs/>
          <w:color w:val="auto"/>
          <w:sz w:val="32"/>
          <w:szCs w:val="32"/>
          <w:lang w:bidi="ar"/>
        </w:rPr>
      </w:pPr>
      <w:r>
        <w:rPr>
          <w:rFonts w:hint="eastAsia" w:ascii="宋体" w:hAnsi="宋体" w:eastAsia="宋体" w:cs="宋体"/>
          <w:b w:val="0"/>
          <w:bCs/>
          <w:color w:val="auto"/>
          <w:sz w:val="32"/>
          <w:szCs w:val="32"/>
          <w:lang w:val="en-US" w:eastAsia="zh-CN"/>
        </w:rPr>
        <w:t>2</w:t>
      </w:r>
      <w:r>
        <w:rPr>
          <w:rFonts w:hint="eastAsia" w:ascii="宋体" w:hAnsi="宋体" w:eastAsia="宋体" w:cs="宋体"/>
          <w:b w:val="0"/>
          <w:bCs/>
          <w:color w:val="auto"/>
          <w:sz w:val="32"/>
          <w:szCs w:val="32"/>
          <w:lang w:eastAsia="zh-CN"/>
        </w:rPr>
        <w:t>、</w:t>
      </w:r>
      <w:r>
        <w:rPr>
          <w:rFonts w:hint="eastAsia" w:ascii="宋体" w:hAnsi="宋体" w:eastAsia="宋体" w:cs="宋体"/>
          <w:b w:val="0"/>
          <w:bCs/>
          <w:color w:val="auto"/>
          <w:sz w:val="32"/>
          <w:szCs w:val="32"/>
          <w:lang w:bidi="ar"/>
        </w:rPr>
        <w:t>本年度财政追加指标及专项拨款情况。</w:t>
      </w:r>
    </w:p>
    <w:p>
      <w:pPr>
        <w:spacing w:line="520" w:lineRule="exact"/>
        <w:ind w:firstLine="640" w:firstLineChars="200"/>
        <w:rPr>
          <w:rFonts w:hint="eastAsia" w:ascii="宋体" w:hAnsi="宋体" w:eastAsia="宋体" w:cs="宋体"/>
          <w:b w:val="0"/>
          <w:bCs/>
          <w:color w:val="auto"/>
          <w:sz w:val="32"/>
          <w:szCs w:val="32"/>
        </w:rPr>
      </w:pPr>
      <w:r>
        <w:rPr>
          <w:rFonts w:hint="eastAsia" w:ascii="宋体" w:hAnsi="宋体" w:eastAsia="宋体" w:cs="宋体"/>
          <w:b w:val="0"/>
          <w:bCs/>
          <w:color w:val="auto"/>
          <w:sz w:val="32"/>
          <w:szCs w:val="32"/>
          <w:lang w:bidi="ar"/>
        </w:rPr>
        <w:t>本年度追加经费</w:t>
      </w:r>
      <w:r>
        <w:rPr>
          <w:rFonts w:hint="eastAsia" w:ascii="宋体" w:hAnsi="宋体" w:eastAsia="宋体" w:cs="宋体"/>
          <w:b w:val="0"/>
          <w:bCs/>
          <w:color w:val="auto"/>
          <w:sz w:val="32"/>
          <w:szCs w:val="32"/>
          <w:lang w:val="en-US" w:eastAsia="zh-CN" w:bidi="ar"/>
        </w:rPr>
        <w:t>299.89</w:t>
      </w:r>
      <w:r>
        <w:rPr>
          <w:rFonts w:hint="eastAsia" w:ascii="宋体" w:hAnsi="宋体" w:eastAsia="宋体" w:cs="宋体"/>
          <w:b w:val="0"/>
          <w:bCs/>
          <w:color w:val="auto"/>
          <w:sz w:val="32"/>
          <w:szCs w:val="32"/>
          <w:lang w:bidi="ar"/>
        </w:rPr>
        <w:t>万元，</w:t>
      </w:r>
      <w:r>
        <w:rPr>
          <w:rFonts w:hint="eastAsia" w:ascii="宋体" w:hAnsi="宋体" w:eastAsia="宋体" w:cs="宋体"/>
          <w:b w:val="0"/>
          <w:bCs/>
          <w:color w:val="auto"/>
          <w:sz w:val="32"/>
          <w:szCs w:val="32"/>
        </w:rPr>
        <w:t>本年度财政拨款总收入</w:t>
      </w:r>
      <w:r>
        <w:rPr>
          <w:rFonts w:hint="eastAsia" w:ascii="宋体" w:hAnsi="宋体" w:eastAsia="宋体" w:cs="宋体"/>
          <w:b w:val="0"/>
          <w:bCs/>
          <w:color w:val="auto"/>
          <w:sz w:val="32"/>
          <w:szCs w:val="32"/>
          <w:lang w:val="en-US" w:eastAsia="zh-CN"/>
        </w:rPr>
        <w:t>728.48</w:t>
      </w:r>
      <w:r>
        <w:rPr>
          <w:rFonts w:hint="eastAsia" w:ascii="宋体" w:hAnsi="宋体" w:eastAsia="宋体" w:cs="宋体"/>
          <w:b w:val="0"/>
          <w:bCs/>
          <w:color w:val="auto"/>
          <w:sz w:val="32"/>
          <w:szCs w:val="32"/>
        </w:rPr>
        <w:t>万元。</w:t>
      </w:r>
    </w:p>
    <w:p>
      <w:pPr>
        <w:adjustRightInd w:val="0"/>
        <w:snapToGrid w:val="0"/>
        <w:spacing w:line="600" w:lineRule="exact"/>
        <w:ind w:firstLine="640" w:firstLineChars="200"/>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lang w:val="en-US" w:eastAsia="zh-CN"/>
        </w:rPr>
        <w:t>二</w:t>
      </w:r>
      <w:r>
        <w:rPr>
          <w:rFonts w:hint="eastAsia" w:ascii="宋体" w:hAnsi="宋体" w:eastAsia="宋体" w:cs="宋体"/>
          <w:b/>
          <w:bCs w:val="0"/>
          <w:color w:val="auto"/>
          <w:sz w:val="32"/>
          <w:szCs w:val="32"/>
        </w:rPr>
        <w:t>、部门整体支出管理及使用情况</w:t>
      </w:r>
    </w:p>
    <w:p>
      <w:pPr>
        <w:adjustRightInd w:val="0"/>
        <w:snapToGrid w:val="0"/>
        <w:spacing w:line="600" w:lineRule="exact"/>
        <w:ind w:firstLine="640" w:firstLineChars="200"/>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lang w:val="en-US" w:eastAsia="zh-CN"/>
        </w:rPr>
        <w:t>（一）</w:t>
      </w:r>
      <w:r>
        <w:rPr>
          <w:rFonts w:hint="eastAsia" w:ascii="宋体" w:hAnsi="宋体" w:eastAsia="宋体" w:cs="宋体"/>
          <w:b/>
          <w:bCs w:val="0"/>
          <w:color w:val="auto"/>
          <w:sz w:val="32"/>
          <w:szCs w:val="32"/>
        </w:rPr>
        <w:t>基本支出</w:t>
      </w:r>
    </w:p>
    <w:p>
      <w:pPr>
        <w:adjustRightInd w:val="0"/>
        <w:snapToGrid w:val="0"/>
        <w:spacing w:line="600" w:lineRule="exact"/>
        <w:ind w:firstLine="640" w:firstLineChars="200"/>
        <w:rPr>
          <w:rFonts w:hint="eastAsia" w:ascii="宋体" w:hAnsi="宋体" w:eastAsia="宋体" w:cs="宋体"/>
          <w:b w:val="0"/>
          <w:bCs/>
          <w:color w:val="auto"/>
          <w:sz w:val="32"/>
          <w:szCs w:val="32"/>
        </w:rPr>
      </w:pPr>
      <w:r>
        <w:rPr>
          <w:rFonts w:hint="eastAsia" w:ascii="宋体" w:hAnsi="宋体" w:eastAsia="宋体" w:cs="宋体"/>
          <w:b w:val="0"/>
          <w:bCs/>
          <w:color w:val="auto"/>
          <w:sz w:val="32"/>
          <w:szCs w:val="32"/>
        </w:rPr>
        <w:t>基本支出用于为保障机构正常运转、完成日常工作任务而发生的支出，包括人员经费和公用经费。</w:t>
      </w:r>
    </w:p>
    <w:p>
      <w:pPr>
        <w:adjustRightInd w:val="0"/>
        <w:snapToGrid w:val="0"/>
        <w:spacing w:line="600" w:lineRule="exact"/>
        <w:ind w:firstLine="640" w:firstLineChars="200"/>
        <w:rPr>
          <w:rFonts w:hint="eastAsia" w:ascii="宋体" w:hAnsi="宋体" w:eastAsia="宋体" w:cs="宋体"/>
          <w:b w:val="0"/>
          <w:bCs/>
          <w:color w:val="auto"/>
          <w:sz w:val="32"/>
          <w:szCs w:val="32"/>
        </w:rPr>
      </w:pPr>
      <w:r>
        <w:rPr>
          <w:rFonts w:hint="eastAsia" w:ascii="宋体" w:hAnsi="宋体" w:eastAsia="宋体" w:cs="宋体"/>
          <w:b w:val="0"/>
          <w:bCs/>
          <w:color w:val="auto"/>
          <w:sz w:val="32"/>
          <w:szCs w:val="32"/>
        </w:rPr>
        <w:t>201</w:t>
      </w:r>
      <w:r>
        <w:rPr>
          <w:rFonts w:hint="eastAsia" w:ascii="宋体" w:hAnsi="宋体" w:eastAsia="宋体" w:cs="宋体"/>
          <w:b w:val="0"/>
          <w:bCs/>
          <w:color w:val="auto"/>
          <w:sz w:val="32"/>
          <w:szCs w:val="32"/>
          <w:lang w:val="en-US" w:eastAsia="zh-CN"/>
        </w:rPr>
        <w:t>9</w:t>
      </w:r>
      <w:r>
        <w:rPr>
          <w:rFonts w:hint="eastAsia" w:ascii="宋体" w:hAnsi="宋体" w:eastAsia="宋体" w:cs="宋体"/>
          <w:b w:val="0"/>
          <w:bCs/>
          <w:color w:val="auto"/>
          <w:sz w:val="32"/>
          <w:szCs w:val="32"/>
        </w:rPr>
        <w:t>年年初预算批复的基本支出为</w:t>
      </w:r>
      <w:r>
        <w:rPr>
          <w:rFonts w:hint="eastAsia" w:ascii="宋体" w:hAnsi="宋体" w:eastAsia="宋体" w:cs="宋体"/>
          <w:b w:val="0"/>
          <w:bCs/>
          <w:color w:val="auto"/>
          <w:sz w:val="32"/>
          <w:szCs w:val="32"/>
          <w:lang w:val="en-US" w:eastAsia="zh-CN"/>
        </w:rPr>
        <w:t>428.59</w:t>
      </w:r>
      <w:r>
        <w:rPr>
          <w:rFonts w:hint="eastAsia" w:ascii="宋体" w:hAnsi="宋体" w:eastAsia="宋体" w:cs="宋体"/>
          <w:b w:val="0"/>
          <w:bCs/>
          <w:color w:val="auto"/>
          <w:sz w:val="32"/>
          <w:szCs w:val="32"/>
        </w:rPr>
        <w:t>万元。</w:t>
      </w:r>
    </w:p>
    <w:p>
      <w:pPr>
        <w:adjustRightInd w:val="0"/>
        <w:snapToGrid w:val="0"/>
        <w:spacing w:line="600" w:lineRule="exact"/>
        <w:ind w:firstLine="640" w:firstLineChars="200"/>
        <w:rPr>
          <w:rFonts w:hint="eastAsia" w:ascii="宋体" w:hAnsi="宋体" w:eastAsia="宋体" w:cs="宋体"/>
          <w:b w:val="0"/>
          <w:bCs/>
          <w:color w:val="auto"/>
          <w:sz w:val="32"/>
          <w:szCs w:val="32"/>
        </w:rPr>
      </w:pPr>
      <w:r>
        <w:rPr>
          <w:rFonts w:hint="eastAsia" w:ascii="宋体" w:hAnsi="宋体" w:eastAsia="宋体" w:cs="宋体"/>
          <w:b w:val="0"/>
          <w:bCs/>
          <w:color w:val="auto"/>
          <w:sz w:val="32"/>
          <w:szCs w:val="32"/>
        </w:rPr>
        <w:t>201</w:t>
      </w:r>
      <w:r>
        <w:rPr>
          <w:rFonts w:hint="eastAsia" w:ascii="宋体" w:hAnsi="宋体" w:eastAsia="宋体" w:cs="宋体"/>
          <w:b w:val="0"/>
          <w:bCs/>
          <w:color w:val="auto"/>
          <w:sz w:val="32"/>
          <w:szCs w:val="32"/>
          <w:lang w:val="en-US" w:eastAsia="zh-CN"/>
        </w:rPr>
        <w:t>9</w:t>
      </w:r>
      <w:r>
        <w:rPr>
          <w:rFonts w:hint="eastAsia" w:ascii="宋体" w:hAnsi="宋体" w:eastAsia="宋体" w:cs="宋体"/>
          <w:b w:val="0"/>
          <w:bCs/>
          <w:color w:val="auto"/>
          <w:sz w:val="32"/>
          <w:szCs w:val="32"/>
        </w:rPr>
        <w:t>年决算基本支出</w:t>
      </w:r>
      <w:r>
        <w:rPr>
          <w:rFonts w:hint="eastAsia" w:ascii="宋体" w:hAnsi="宋体" w:eastAsia="宋体" w:cs="宋体"/>
          <w:b w:val="0"/>
          <w:bCs/>
          <w:color w:val="auto"/>
          <w:sz w:val="32"/>
          <w:szCs w:val="32"/>
          <w:lang w:val="en-US" w:eastAsia="zh-CN"/>
        </w:rPr>
        <w:t>728.48</w:t>
      </w:r>
      <w:r>
        <w:rPr>
          <w:rFonts w:hint="eastAsia" w:ascii="宋体" w:hAnsi="宋体" w:eastAsia="宋体" w:cs="宋体"/>
          <w:b w:val="0"/>
          <w:bCs/>
          <w:color w:val="auto"/>
          <w:sz w:val="32"/>
          <w:szCs w:val="32"/>
        </w:rPr>
        <w:t>万元，其中：工资福利支出</w:t>
      </w:r>
      <w:r>
        <w:rPr>
          <w:rFonts w:hint="eastAsia" w:ascii="宋体" w:hAnsi="宋体" w:eastAsia="宋体" w:cs="宋体"/>
          <w:b w:val="0"/>
          <w:bCs/>
          <w:color w:val="auto"/>
          <w:sz w:val="32"/>
          <w:szCs w:val="32"/>
          <w:lang w:val="en-US" w:eastAsia="zh-CN"/>
        </w:rPr>
        <w:t>164.92</w:t>
      </w:r>
      <w:r>
        <w:rPr>
          <w:rFonts w:hint="eastAsia" w:ascii="宋体" w:hAnsi="宋体" w:eastAsia="宋体" w:cs="宋体"/>
          <w:b w:val="0"/>
          <w:bCs/>
          <w:color w:val="auto"/>
          <w:sz w:val="32"/>
          <w:szCs w:val="32"/>
        </w:rPr>
        <w:t>万元、商品和服务支出</w:t>
      </w:r>
      <w:r>
        <w:rPr>
          <w:rFonts w:hint="eastAsia" w:ascii="宋体" w:hAnsi="宋体" w:eastAsia="宋体" w:cs="宋体"/>
          <w:b w:val="0"/>
          <w:bCs/>
          <w:color w:val="auto"/>
          <w:sz w:val="32"/>
          <w:szCs w:val="32"/>
          <w:lang w:val="en-US" w:eastAsia="zh-CN"/>
        </w:rPr>
        <w:t>332.90</w:t>
      </w:r>
      <w:r>
        <w:rPr>
          <w:rFonts w:hint="eastAsia" w:ascii="宋体" w:hAnsi="宋体" w:eastAsia="宋体" w:cs="宋体"/>
          <w:b w:val="0"/>
          <w:bCs/>
          <w:color w:val="auto"/>
          <w:sz w:val="32"/>
          <w:szCs w:val="32"/>
        </w:rPr>
        <w:t>万元、对个人和家庭的补助</w:t>
      </w:r>
      <w:r>
        <w:rPr>
          <w:rFonts w:hint="eastAsia" w:ascii="宋体" w:hAnsi="宋体" w:eastAsia="宋体" w:cs="宋体"/>
          <w:b w:val="0"/>
          <w:bCs/>
          <w:color w:val="auto"/>
          <w:sz w:val="32"/>
          <w:szCs w:val="32"/>
          <w:lang w:val="en-US" w:eastAsia="zh-CN"/>
        </w:rPr>
        <w:t>101.91</w:t>
      </w:r>
      <w:r>
        <w:rPr>
          <w:rFonts w:hint="eastAsia" w:ascii="宋体" w:hAnsi="宋体" w:eastAsia="宋体" w:cs="宋体"/>
          <w:b w:val="0"/>
          <w:bCs/>
          <w:color w:val="auto"/>
          <w:sz w:val="32"/>
          <w:szCs w:val="32"/>
        </w:rPr>
        <w:t>万元</w:t>
      </w:r>
      <w:r>
        <w:rPr>
          <w:rFonts w:hint="eastAsia" w:ascii="宋体" w:hAnsi="宋体" w:eastAsia="宋体" w:cs="宋体"/>
          <w:b w:val="0"/>
          <w:bCs/>
          <w:color w:val="auto"/>
          <w:sz w:val="32"/>
          <w:szCs w:val="32"/>
          <w:lang w:eastAsia="zh-CN"/>
        </w:rPr>
        <w:t>、资本性支出</w:t>
      </w:r>
      <w:r>
        <w:rPr>
          <w:rFonts w:hint="eastAsia" w:ascii="宋体" w:hAnsi="宋体" w:eastAsia="宋体" w:cs="宋体"/>
          <w:b w:val="0"/>
          <w:bCs/>
          <w:color w:val="auto"/>
          <w:sz w:val="32"/>
          <w:szCs w:val="32"/>
          <w:lang w:val="en-US" w:eastAsia="zh-CN"/>
        </w:rPr>
        <w:t>128.75万元</w:t>
      </w:r>
      <w:r>
        <w:rPr>
          <w:rFonts w:hint="eastAsia" w:ascii="宋体" w:hAnsi="宋体" w:eastAsia="宋体" w:cs="宋体"/>
          <w:b w:val="0"/>
          <w:bCs/>
          <w:color w:val="auto"/>
          <w:sz w:val="32"/>
          <w:szCs w:val="32"/>
        </w:rPr>
        <w:t>。决算数与年初预算指标对比，基本支出差异</w:t>
      </w:r>
      <w:r>
        <w:rPr>
          <w:rFonts w:hint="eastAsia" w:ascii="宋体" w:hAnsi="宋体" w:eastAsia="宋体" w:cs="宋体"/>
          <w:b w:val="0"/>
          <w:bCs/>
          <w:color w:val="auto"/>
          <w:sz w:val="32"/>
          <w:szCs w:val="32"/>
          <w:lang w:val="en-US" w:eastAsia="zh-CN"/>
        </w:rPr>
        <w:t>299.89</w:t>
      </w:r>
      <w:r>
        <w:rPr>
          <w:rFonts w:hint="eastAsia" w:ascii="宋体" w:hAnsi="宋体" w:eastAsia="宋体" w:cs="宋体"/>
          <w:b w:val="0"/>
          <w:bCs/>
          <w:color w:val="auto"/>
          <w:sz w:val="32"/>
          <w:szCs w:val="32"/>
        </w:rPr>
        <w:t>万元。</w:t>
      </w:r>
    </w:p>
    <w:p>
      <w:pPr>
        <w:adjustRightInd w:val="0"/>
        <w:snapToGrid w:val="0"/>
        <w:spacing w:line="600" w:lineRule="exact"/>
        <w:ind w:firstLine="640" w:firstLineChars="200"/>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lang w:val="en-US" w:eastAsia="zh-CN"/>
        </w:rPr>
        <w:t>（二）</w:t>
      </w:r>
      <w:r>
        <w:rPr>
          <w:rFonts w:hint="eastAsia" w:ascii="宋体" w:hAnsi="宋体" w:eastAsia="宋体" w:cs="宋体"/>
          <w:b/>
          <w:bCs w:val="0"/>
          <w:color w:val="auto"/>
          <w:sz w:val="32"/>
          <w:szCs w:val="32"/>
        </w:rPr>
        <w:t>三公经费使用管理情况</w:t>
      </w:r>
    </w:p>
    <w:p>
      <w:pPr>
        <w:ind w:firstLine="640" w:firstLineChars="200"/>
        <w:rPr>
          <w:rFonts w:hint="eastAsia" w:ascii="宋体" w:hAnsi="宋体" w:eastAsia="宋体" w:cs="宋体"/>
          <w:b w:val="0"/>
          <w:bCs/>
          <w:color w:val="auto"/>
          <w:kern w:val="0"/>
          <w:sz w:val="32"/>
          <w:szCs w:val="32"/>
        </w:rPr>
      </w:pPr>
      <w:r>
        <w:rPr>
          <w:rFonts w:hint="eastAsia" w:ascii="宋体" w:hAnsi="宋体" w:eastAsia="宋体" w:cs="宋体"/>
          <w:b w:val="0"/>
          <w:bCs/>
          <w:color w:val="auto"/>
          <w:kern w:val="0"/>
          <w:sz w:val="32"/>
          <w:szCs w:val="32"/>
          <w:lang w:val="en-US" w:eastAsia="zh-CN"/>
        </w:rPr>
        <w:t>1</w:t>
      </w:r>
      <w:r>
        <w:rPr>
          <w:rFonts w:hint="eastAsia" w:ascii="宋体" w:hAnsi="宋体" w:eastAsia="宋体" w:cs="宋体"/>
          <w:b w:val="0"/>
          <w:bCs/>
          <w:color w:val="auto"/>
          <w:kern w:val="0"/>
          <w:sz w:val="32"/>
          <w:szCs w:val="32"/>
        </w:rPr>
        <w:t>、201</w:t>
      </w:r>
      <w:r>
        <w:rPr>
          <w:rFonts w:hint="eastAsia" w:ascii="宋体" w:hAnsi="宋体" w:eastAsia="宋体" w:cs="宋体"/>
          <w:b w:val="0"/>
          <w:bCs/>
          <w:color w:val="auto"/>
          <w:kern w:val="0"/>
          <w:sz w:val="32"/>
          <w:szCs w:val="32"/>
          <w:lang w:val="en-US" w:eastAsia="zh-CN"/>
        </w:rPr>
        <w:t>9</w:t>
      </w:r>
      <w:r>
        <w:rPr>
          <w:rFonts w:hint="eastAsia" w:ascii="宋体" w:hAnsi="宋体" w:eastAsia="宋体" w:cs="宋体"/>
          <w:b w:val="0"/>
          <w:bCs/>
          <w:color w:val="auto"/>
          <w:kern w:val="0"/>
          <w:sz w:val="32"/>
          <w:szCs w:val="32"/>
        </w:rPr>
        <w:t>年“三公”经费预算情况</w:t>
      </w:r>
    </w:p>
    <w:p>
      <w:pPr>
        <w:spacing w:line="520" w:lineRule="exact"/>
        <w:ind w:firstLine="640" w:firstLineChars="200"/>
        <w:rPr>
          <w:rFonts w:hint="eastAsia" w:ascii="宋体" w:hAnsi="宋体" w:eastAsia="宋体" w:cs="宋体"/>
          <w:b w:val="0"/>
          <w:bCs/>
          <w:color w:val="auto"/>
          <w:sz w:val="32"/>
          <w:szCs w:val="32"/>
          <w:lang w:bidi="ar"/>
        </w:rPr>
      </w:pPr>
      <w:r>
        <w:rPr>
          <w:rFonts w:hint="eastAsia" w:ascii="宋体" w:hAnsi="宋体" w:eastAsia="宋体" w:cs="宋体"/>
          <w:b w:val="0"/>
          <w:bCs/>
          <w:color w:val="auto"/>
          <w:sz w:val="32"/>
          <w:szCs w:val="32"/>
          <w:lang w:bidi="ar"/>
        </w:rPr>
        <w:t>我</w:t>
      </w:r>
      <w:r>
        <w:rPr>
          <w:rFonts w:hint="eastAsia" w:ascii="宋体" w:hAnsi="宋体" w:eastAsia="宋体" w:cs="宋体"/>
          <w:b w:val="0"/>
          <w:bCs/>
          <w:color w:val="auto"/>
          <w:sz w:val="32"/>
          <w:szCs w:val="32"/>
          <w:lang w:eastAsia="zh-CN" w:bidi="ar"/>
        </w:rPr>
        <w:t>单位</w:t>
      </w:r>
      <w:r>
        <w:rPr>
          <w:rFonts w:hint="eastAsia" w:ascii="宋体" w:hAnsi="宋体" w:eastAsia="宋体" w:cs="宋体"/>
          <w:b w:val="0"/>
          <w:bCs/>
          <w:color w:val="auto"/>
          <w:sz w:val="32"/>
          <w:szCs w:val="32"/>
          <w:lang w:bidi="ar"/>
        </w:rPr>
        <w:t>201</w:t>
      </w:r>
      <w:r>
        <w:rPr>
          <w:rFonts w:hint="eastAsia" w:ascii="宋体" w:hAnsi="宋体" w:eastAsia="宋体" w:cs="宋体"/>
          <w:b w:val="0"/>
          <w:bCs/>
          <w:color w:val="auto"/>
          <w:sz w:val="32"/>
          <w:szCs w:val="32"/>
          <w:lang w:val="en-US" w:eastAsia="zh-CN" w:bidi="ar"/>
        </w:rPr>
        <w:t>9</w:t>
      </w:r>
      <w:r>
        <w:rPr>
          <w:rFonts w:hint="eastAsia" w:ascii="宋体" w:hAnsi="宋体" w:eastAsia="宋体" w:cs="宋体"/>
          <w:b w:val="0"/>
          <w:bCs/>
          <w:color w:val="auto"/>
          <w:sz w:val="32"/>
          <w:szCs w:val="32"/>
          <w:lang w:bidi="ar"/>
        </w:rPr>
        <w:t>年“三公”经费预算金额为</w:t>
      </w:r>
      <w:r>
        <w:rPr>
          <w:rFonts w:hint="eastAsia" w:ascii="宋体" w:hAnsi="宋体" w:eastAsia="宋体" w:cs="宋体"/>
          <w:b w:val="0"/>
          <w:bCs/>
          <w:color w:val="auto"/>
          <w:kern w:val="0"/>
          <w:sz w:val="32"/>
          <w:szCs w:val="32"/>
          <w:lang w:val="en-US" w:eastAsia="zh-CN"/>
        </w:rPr>
        <w:t>2</w:t>
      </w:r>
      <w:r>
        <w:rPr>
          <w:rFonts w:hint="eastAsia" w:ascii="宋体" w:hAnsi="宋体" w:eastAsia="宋体" w:cs="宋体"/>
          <w:b w:val="0"/>
          <w:bCs/>
          <w:color w:val="auto"/>
          <w:sz w:val="32"/>
          <w:szCs w:val="32"/>
          <w:lang w:bidi="ar"/>
        </w:rPr>
        <w:t>万元，其中公务接待费</w:t>
      </w:r>
      <w:r>
        <w:rPr>
          <w:rFonts w:hint="eastAsia" w:ascii="宋体" w:hAnsi="宋体" w:eastAsia="宋体" w:cs="宋体"/>
          <w:b w:val="0"/>
          <w:bCs/>
          <w:color w:val="auto"/>
          <w:kern w:val="0"/>
          <w:sz w:val="32"/>
          <w:szCs w:val="32"/>
          <w:lang w:val="en-US" w:eastAsia="zh-CN"/>
        </w:rPr>
        <w:t>2</w:t>
      </w:r>
      <w:r>
        <w:rPr>
          <w:rFonts w:hint="eastAsia" w:ascii="宋体" w:hAnsi="宋体" w:eastAsia="宋体" w:cs="宋体"/>
          <w:b w:val="0"/>
          <w:bCs/>
          <w:color w:val="auto"/>
          <w:sz w:val="32"/>
          <w:szCs w:val="32"/>
          <w:lang w:bidi="ar"/>
        </w:rPr>
        <w:t>万元，为财政拨款资金。</w:t>
      </w:r>
    </w:p>
    <w:p>
      <w:pPr>
        <w:ind w:firstLine="640" w:firstLineChars="200"/>
        <w:rPr>
          <w:rFonts w:hint="eastAsia" w:ascii="宋体" w:hAnsi="宋体" w:eastAsia="宋体" w:cs="宋体"/>
          <w:b w:val="0"/>
          <w:bCs/>
          <w:color w:val="auto"/>
          <w:kern w:val="0"/>
          <w:sz w:val="32"/>
          <w:szCs w:val="32"/>
        </w:rPr>
      </w:pPr>
      <w:r>
        <w:rPr>
          <w:rFonts w:hint="eastAsia" w:ascii="宋体" w:hAnsi="宋体" w:eastAsia="宋体" w:cs="宋体"/>
          <w:b w:val="0"/>
          <w:bCs/>
          <w:color w:val="auto"/>
          <w:kern w:val="0"/>
          <w:sz w:val="32"/>
          <w:szCs w:val="32"/>
          <w:lang w:val="en-US" w:eastAsia="zh-CN"/>
        </w:rPr>
        <w:t>2</w:t>
      </w:r>
      <w:r>
        <w:rPr>
          <w:rFonts w:hint="eastAsia" w:ascii="宋体" w:hAnsi="宋体" w:eastAsia="宋体" w:cs="宋体"/>
          <w:b w:val="0"/>
          <w:bCs/>
          <w:color w:val="auto"/>
          <w:kern w:val="0"/>
          <w:sz w:val="32"/>
          <w:szCs w:val="32"/>
        </w:rPr>
        <w:t>、“三公”经费预算执行情况</w:t>
      </w:r>
    </w:p>
    <w:p>
      <w:pPr>
        <w:adjustRightInd w:val="0"/>
        <w:snapToGrid w:val="0"/>
        <w:spacing w:line="600" w:lineRule="exact"/>
        <w:ind w:firstLine="640" w:firstLineChars="200"/>
        <w:rPr>
          <w:rFonts w:hint="eastAsia" w:ascii="宋体" w:hAnsi="宋体" w:eastAsia="宋体" w:cs="宋体"/>
          <w:b w:val="0"/>
          <w:bCs/>
          <w:color w:val="auto"/>
          <w:sz w:val="32"/>
          <w:szCs w:val="32"/>
          <w:lang w:eastAsia="zh-CN"/>
        </w:rPr>
      </w:pPr>
      <w:r>
        <w:rPr>
          <w:rFonts w:hint="eastAsia" w:ascii="宋体" w:hAnsi="宋体" w:eastAsia="宋体" w:cs="宋体"/>
          <w:b w:val="0"/>
          <w:bCs/>
          <w:color w:val="auto"/>
          <w:sz w:val="32"/>
          <w:szCs w:val="32"/>
          <w:lang w:bidi="ar"/>
        </w:rPr>
        <w:t>我</w:t>
      </w:r>
      <w:r>
        <w:rPr>
          <w:rFonts w:hint="eastAsia" w:ascii="宋体" w:hAnsi="宋体" w:eastAsia="宋体" w:cs="宋体"/>
          <w:b w:val="0"/>
          <w:bCs/>
          <w:color w:val="auto"/>
          <w:sz w:val="32"/>
          <w:szCs w:val="32"/>
          <w:lang w:eastAsia="zh-CN" w:bidi="ar"/>
        </w:rPr>
        <w:t>单位</w:t>
      </w:r>
      <w:r>
        <w:rPr>
          <w:rFonts w:hint="eastAsia" w:ascii="宋体" w:hAnsi="宋体" w:eastAsia="宋体" w:cs="宋体"/>
          <w:b w:val="0"/>
          <w:bCs/>
          <w:color w:val="auto"/>
          <w:sz w:val="32"/>
          <w:szCs w:val="32"/>
          <w:lang w:bidi="ar"/>
        </w:rPr>
        <w:t>201</w:t>
      </w:r>
      <w:r>
        <w:rPr>
          <w:rFonts w:hint="eastAsia" w:ascii="宋体" w:hAnsi="宋体" w:eastAsia="宋体" w:cs="宋体"/>
          <w:b w:val="0"/>
          <w:bCs/>
          <w:color w:val="auto"/>
          <w:sz w:val="32"/>
          <w:szCs w:val="32"/>
          <w:lang w:val="en-US" w:eastAsia="zh-CN" w:bidi="ar"/>
        </w:rPr>
        <w:t>9</w:t>
      </w:r>
      <w:r>
        <w:rPr>
          <w:rFonts w:hint="eastAsia" w:ascii="宋体" w:hAnsi="宋体" w:eastAsia="宋体" w:cs="宋体"/>
          <w:b w:val="0"/>
          <w:bCs/>
          <w:color w:val="auto"/>
          <w:sz w:val="32"/>
          <w:szCs w:val="32"/>
          <w:lang w:bidi="ar"/>
        </w:rPr>
        <w:t>年度“三公”经费预算</w:t>
      </w:r>
      <w:r>
        <w:rPr>
          <w:rFonts w:hint="eastAsia" w:ascii="宋体" w:hAnsi="宋体" w:eastAsia="宋体" w:cs="宋体"/>
          <w:b w:val="0"/>
          <w:bCs/>
          <w:color w:val="auto"/>
          <w:kern w:val="0"/>
          <w:sz w:val="32"/>
          <w:szCs w:val="32"/>
          <w:lang w:val="en-US" w:eastAsia="zh-CN"/>
        </w:rPr>
        <w:t>2</w:t>
      </w:r>
      <w:r>
        <w:rPr>
          <w:rFonts w:hint="eastAsia" w:ascii="宋体" w:hAnsi="宋体" w:eastAsia="宋体" w:cs="宋体"/>
          <w:b w:val="0"/>
          <w:bCs/>
          <w:color w:val="auto"/>
          <w:sz w:val="32"/>
          <w:szCs w:val="32"/>
          <w:lang w:bidi="ar"/>
        </w:rPr>
        <w:t>万元，实际支出</w:t>
      </w:r>
      <w:r>
        <w:rPr>
          <w:rFonts w:hint="eastAsia" w:ascii="宋体" w:hAnsi="宋体" w:eastAsia="宋体" w:cs="宋体"/>
          <w:b w:val="0"/>
          <w:bCs/>
          <w:color w:val="auto"/>
          <w:sz w:val="32"/>
          <w:szCs w:val="32"/>
          <w:lang w:val="en-US" w:eastAsia="zh-CN" w:bidi="ar"/>
        </w:rPr>
        <w:t>1.93</w:t>
      </w:r>
      <w:r>
        <w:rPr>
          <w:rFonts w:hint="eastAsia" w:ascii="宋体" w:hAnsi="宋体" w:eastAsia="宋体" w:cs="宋体"/>
          <w:b w:val="0"/>
          <w:bCs/>
          <w:color w:val="auto"/>
          <w:sz w:val="32"/>
          <w:szCs w:val="32"/>
          <w:lang w:bidi="ar"/>
        </w:rPr>
        <w:t>万元，其中公务接待</w:t>
      </w:r>
      <w:r>
        <w:rPr>
          <w:rFonts w:hint="eastAsia" w:ascii="宋体" w:hAnsi="宋体" w:eastAsia="宋体" w:cs="宋体"/>
          <w:b w:val="0"/>
          <w:bCs/>
          <w:color w:val="auto"/>
          <w:sz w:val="32"/>
          <w:szCs w:val="32"/>
          <w:lang w:val="en-US" w:eastAsia="zh-CN" w:bidi="ar"/>
        </w:rPr>
        <w:t>1.93</w:t>
      </w:r>
      <w:r>
        <w:rPr>
          <w:rFonts w:hint="eastAsia" w:ascii="宋体" w:hAnsi="宋体" w:eastAsia="宋体" w:cs="宋体"/>
          <w:b w:val="0"/>
          <w:bCs/>
          <w:color w:val="auto"/>
          <w:sz w:val="32"/>
          <w:szCs w:val="32"/>
          <w:lang w:bidi="ar"/>
        </w:rPr>
        <w:t>万元，较年初预算节约</w:t>
      </w:r>
      <w:r>
        <w:rPr>
          <w:rFonts w:hint="eastAsia" w:ascii="宋体" w:hAnsi="宋体" w:eastAsia="宋体" w:cs="宋体"/>
          <w:b w:val="0"/>
          <w:bCs/>
          <w:color w:val="auto"/>
          <w:sz w:val="32"/>
          <w:szCs w:val="32"/>
          <w:lang w:val="en-US" w:eastAsia="zh-CN" w:bidi="ar"/>
        </w:rPr>
        <w:t>0.07</w:t>
      </w:r>
      <w:r>
        <w:rPr>
          <w:rFonts w:hint="eastAsia" w:ascii="宋体" w:hAnsi="宋体" w:eastAsia="宋体" w:cs="宋体"/>
          <w:b w:val="0"/>
          <w:bCs/>
          <w:color w:val="auto"/>
          <w:sz w:val="32"/>
          <w:szCs w:val="32"/>
          <w:lang w:bidi="ar"/>
        </w:rPr>
        <w:t>万元，节约</w:t>
      </w:r>
      <w:r>
        <w:rPr>
          <w:rFonts w:hint="eastAsia" w:ascii="宋体" w:hAnsi="宋体" w:eastAsia="宋体" w:cs="宋体"/>
          <w:b w:val="0"/>
          <w:bCs/>
          <w:color w:val="auto"/>
          <w:sz w:val="32"/>
          <w:szCs w:val="32"/>
          <w:lang w:val="en-US" w:eastAsia="zh-CN" w:bidi="ar"/>
        </w:rPr>
        <w:t>3.5</w:t>
      </w:r>
      <w:r>
        <w:rPr>
          <w:rFonts w:hint="eastAsia" w:ascii="宋体" w:hAnsi="宋体" w:eastAsia="宋体" w:cs="宋体"/>
          <w:b w:val="0"/>
          <w:bCs/>
          <w:color w:val="auto"/>
          <w:sz w:val="32"/>
          <w:szCs w:val="32"/>
          <w:lang w:bidi="ar"/>
        </w:rPr>
        <w:t>%</w:t>
      </w:r>
      <w:r>
        <w:rPr>
          <w:rFonts w:hint="eastAsia" w:ascii="宋体" w:hAnsi="宋体" w:eastAsia="宋体" w:cs="宋体"/>
          <w:b w:val="0"/>
          <w:bCs/>
          <w:color w:val="auto"/>
          <w:sz w:val="32"/>
          <w:szCs w:val="32"/>
          <w:lang w:eastAsia="zh-CN" w:bidi="ar"/>
        </w:rPr>
        <w:t>。</w:t>
      </w:r>
    </w:p>
    <w:p>
      <w:pPr>
        <w:adjustRightInd w:val="0"/>
        <w:snapToGrid w:val="0"/>
        <w:spacing w:line="600" w:lineRule="exact"/>
        <w:ind w:firstLine="640" w:firstLineChars="200"/>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t>三、部门整体支出绩效情况</w:t>
      </w:r>
    </w:p>
    <w:p>
      <w:pPr>
        <w:ind w:firstLine="640" w:firstLineChars="200"/>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t>（一）绩效评价工作情况</w:t>
      </w:r>
    </w:p>
    <w:p>
      <w:pPr>
        <w:ind w:firstLine="640" w:firstLineChars="200"/>
        <w:rPr>
          <w:rFonts w:hint="eastAsia" w:ascii="宋体" w:hAnsi="宋体" w:eastAsia="宋体" w:cs="宋体"/>
          <w:b w:val="0"/>
          <w:bCs/>
          <w:color w:val="auto"/>
          <w:sz w:val="32"/>
          <w:szCs w:val="32"/>
        </w:rPr>
      </w:pPr>
      <w:r>
        <w:rPr>
          <w:rFonts w:hint="eastAsia" w:ascii="宋体" w:hAnsi="宋体" w:eastAsia="宋体" w:cs="宋体"/>
          <w:b w:val="0"/>
          <w:bCs/>
          <w:color w:val="auto"/>
          <w:sz w:val="32"/>
          <w:szCs w:val="32"/>
        </w:rPr>
        <w:t>根据《201</w:t>
      </w:r>
      <w:r>
        <w:rPr>
          <w:rFonts w:hint="eastAsia" w:ascii="宋体" w:hAnsi="宋体" w:eastAsia="宋体" w:cs="宋体"/>
          <w:b w:val="0"/>
          <w:bCs/>
          <w:color w:val="auto"/>
          <w:sz w:val="32"/>
          <w:szCs w:val="32"/>
          <w:lang w:val="en-US" w:eastAsia="zh-CN"/>
        </w:rPr>
        <w:t>9</w:t>
      </w:r>
      <w:r>
        <w:rPr>
          <w:rFonts w:hint="eastAsia" w:ascii="宋体" w:hAnsi="宋体" w:eastAsia="宋体" w:cs="宋体"/>
          <w:b w:val="0"/>
          <w:bCs/>
          <w:color w:val="auto"/>
          <w:sz w:val="32"/>
          <w:szCs w:val="32"/>
        </w:rPr>
        <w:t>年洞口县县级预算单位绩效评价工作方案》（洞财监【20</w:t>
      </w:r>
      <w:r>
        <w:rPr>
          <w:rFonts w:hint="eastAsia" w:ascii="宋体" w:hAnsi="宋体" w:eastAsia="宋体" w:cs="宋体"/>
          <w:b w:val="0"/>
          <w:bCs/>
          <w:color w:val="auto"/>
          <w:sz w:val="32"/>
          <w:szCs w:val="32"/>
          <w:lang w:val="en-US" w:eastAsia="zh-CN"/>
        </w:rPr>
        <w:t>20</w:t>
      </w:r>
      <w:r>
        <w:rPr>
          <w:rFonts w:hint="eastAsia" w:ascii="宋体" w:hAnsi="宋体" w:eastAsia="宋体" w:cs="宋体"/>
          <w:b w:val="0"/>
          <w:bCs/>
          <w:color w:val="auto"/>
          <w:sz w:val="32"/>
          <w:szCs w:val="32"/>
        </w:rPr>
        <w:t>】02号）文件，我单位成立了绩效评价工作领导小组，制定了《201</w:t>
      </w:r>
      <w:r>
        <w:rPr>
          <w:rFonts w:hint="eastAsia" w:ascii="宋体" w:hAnsi="宋体" w:eastAsia="宋体" w:cs="宋体"/>
          <w:b w:val="0"/>
          <w:bCs/>
          <w:color w:val="auto"/>
          <w:sz w:val="32"/>
          <w:szCs w:val="32"/>
          <w:lang w:val="en-US" w:eastAsia="zh-CN"/>
        </w:rPr>
        <w:t>9</w:t>
      </w:r>
      <w:r>
        <w:rPr>
          <w:rFonts w:hint="eastAsia" w:ascii="宋体" w:hAnsi="宋体" w:eastAsia="宋体" w:cs="宋体"/>
          <w:b w:val="0"/>
          <w:bCs/>
          <w:color w:val="auto"/>
          <w:sz w:val="32"/>
          <w:szCs w:val="32"/>
        </w:rPr>
        <w:t>年度财政资金绩效自评方案》，并依据方案组织开展绩效评价工作。评价小组采取座谈等方式听取情况，检查基本支出有关账目，收集整理支出相关资料，对绩效自评材料进行分析，形成评价结论。</w:t>
      </w:r>
    </w:p>
    <w:p>
      <w:pPr>
        <w:adjustRightInd w:val="0"/>
        <w:snapToGrid w:val="0"/>
        <w:spacing w:line="600" w:lineRule="exact"/>
        <w:ind w:firstLine="640" w:firstLineChars="200"/>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t>（二）部门整体支出绩效情况</w:t>
      </w:r>
    </w:p>
    <w:p>
      <w:pPr>
        <w:adjustRightInd w:val="0"/>
        <w:snapToGrid w:val="0"/>
        <w:spacing w:line="600" w:lineRule="exact"/>
        <w:ind w:firstLine="640" w:firstLineChars="200"/>
        <w:rPr>
          <w:rFonts w:hint="eastAsia" w:ascii="宋体" w:hAnsi="宋体" w:eastAsia="宋体" w:cs="宋体"/>
          <w:b w:val="0"/>
          <w:bCs/>
          <w:color w:val="auto"/>
          <w:sz w:val="32"/>
          <w:szCs w:val="32"/>
        </w:rPr>
      </w:pPr>
      <w:r>
        <w:rPr>
          <w:rFonts w:hint="eastAsia" w:ascii="宋体" w:hAnsi="宋体" w:eastAsia="宋体" w:cs="宋体"/>
          <w:b w:val="0"/>
          <w:bCs/>
          <w:color w:val="auto"/>
          <w:sz w:val="32"/>
          <w:szCs w:val="32"/>
        </w:rPr>
        <w:t>201</w:t>
      </w:r>
      <w:r>
        <w:rPr>
          <w:rFonts w:hint="eastAsia" w:ascii="宋体" w:hAnsi="宋体" w:eastAsia="宋体" w:cs="宋体"/>
          <w:b w:val="0"/>
          <w:bCs/>
          <w:color w:val="auto"/>
          <w:sz w:val="32"/>
          <w:szCs w:val="32"/>
          <w:lang w:val="en-US" w:eastAsia="zh-CN"/>
        </w:rPr>
        <w:t>9</w:t>
      </w:r>
      <w:r>
        <w:rPr>
          <w:rFonts w:hint="eastAsia" w:ascii="宋体" w:hAnsi="宋体" w:eastAsia="宋体" w:cs="宋体"/>
          <w:b w:val="0"/>
          <w:bCs/>
          <w:color w:val="auto"/>
          <w:sz w:val="32"/>
          <w:szCs w:val="32"/>
        </w:rPr>
        <w:t>年，我单位在县委、县政府</w:t>
      </w:r>
      <w:r>
        <w:rPr>
          <w:rFonts w:hint="eastAsia" w:ascii="宋体" w:hAnsi="宋体" w:eastAsia="宋体" w:cs="宋体"/>
          <w:b w:val="0"/>
          <w:bCs/>
          <w:color w:val="auto"/>
          <w:sz w:val="32"/>
          <w:szCs w:val="32"/>
          <w:lang w:eastAsia="zh-CN"/>
        </w:rPr>
        <w:t>及主管局</w:t>
      </w:r>
      <w:r>
        <w:rPr>
          <w:rFonts w:hint="eastAsia" w:ascii="宋体" w:hAnsi="宋体" w:eastAsia="宋体" w:cs="宋体"/>
          <w:b w:val="0"/>
          <w:bCs/>
          <w:color w:val="auto"/>
          <w:sz w:val="32"/>
          <w:szCs w:val="32"/>
        </w:rPr>
        <w:t>的领导下，坚持依法行政、稳中求进、改革创新、积极作为，突出抓改革强监管促发展，各方面工作稳步推进，根据我单位制定的《部门整体支出绩效评价自评分值表》评分，得分</w:t>
      </w:r>
      <w:r>
        <w:rPr>
          <w:rFonts w:hint="eastAsia" w:ascii="宋体" w:hAnsi="宋体" w:eastAsia="宋体" w:cs="宋体"/>
          <w:b w:val="0"/>
          <w:bCs/>
          <w:color w:val="auto"/>
          <w:sz w:val="32"/>
          <w:szCs w:val="32"/>
          <w:lang w:val="en-US" w:eastAsia="zh-CN"/>
        </w:rPr>
        <w:t>85</w:t>
      </w:r>
      <w:r>
        <w:rPr>
          <w:rFonts w:hint="eastAsia" w:ascii="宋体" w:hAnsi="宋体" w:eastAsia="宋体" w:cs="宋体"/>
          <w:b w:val="0"/>
          <w:bCs/>
          <w:color w:val="auto"/>
          <w:sz w:val="32"/>
          <w:szCs w:val="32"/>
        </w:rPr>
        <w:t>分，财政支出绩效为“良”。主要成绩如下：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both"/>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color="auto" w:fill="FFFFFF"/>
          <w:lang w:val="en-US" w:eastAsia="zh-CN"/>
        </w:rPr>
        <w:t>1</w:t>
      </w:r>
      <w:r>
        <w:rPr>
          <w:rFonts w:hint="eastAsia" w:ascii="宋体" w:hAnsi="宋体" w:eastAsia="宋体" w:cs="宋体"/>
          <w:b w:val="0"/>
          <w:bCs/>
          <w:i w:val="0"/>
          <w:caps w:val="0"/>
          <w:color w:val="auto"/>
          <w:spacing w:val="0"/>
          <w:sz w:val="32"/>
          <w:szCs w:val="32"/>
          <w:shd w:val="clear" w:color="auto" w:fill="FFFFFF"/>
        </w:rPr>
        <w:t>、以政治思想工作为引领，全面加强党的建设。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both"/>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color="auto" w:fill="FFFFFF"/>
        </w:rPr>
        <w:t>一是抓好政治理论学习。扎实开展了“不忘初心、牢记使命”主题教育，做到规定动作不折不扣、推陈出新。学习有计划有安排，形式多样，特别是学习了习近平新时代中国特色社会主义思想理论，理论教育入脑入心，真正做到主题调研有成果，开展批评教育有辣味，对照检查触灵魂，全面提升干部职工政治觉悟和理论水平。二是加强机关党建工作。健全机关组织，成立机关党支部，坚持民主集中制，严格规范党内政治生活，做好“三会一课”有关工作。组织9.30烈士纪念日开展党日活动，邀请优秀退役军人讲创业先进事迹，以全市查处的腐败案例为反面教材，组织全局干部职工开展警示教育，统一了思想和行为，荡涤了尘土、净化了灵魂。三是重视舆论宣传。我局在邵阳日报、新闻网、云邵阳、洞口电视台等各类媒体共发稿50多篇，宣传党的退役军人政策法规，弘扬优秀典型人物，架起了服务机构和广大服务对象的桥梁，呼唤全社会尊崇军人。四是严格落实好党风廉政责任制建设。制定廉政工作要点，修订完善机关制度，认真开展好整治形式主义官僚主义行动和国家公职人员违规入股经商放贷收息问题专项清理活动，营造良好的政治生态和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both"/>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color="auto" w:fill="FFFFFF"/>
          <w:lang w:val="en-US" w:eastAsia="zh-CN"/>
        </w:rPr>
        <w:t>2</w:t>
      </w:r>
      <w:r>
        <w:rPr>
          <w:rFonts w:hint="eastAsia" w:ascii="宋体" w:hAnsi="宋体" w:eastAsia="宋体" w:cs="宋体"/>
          <w:b w:val="0"/>
          <w:bCs/>
          <w:i w:val="0"/>
          <w:caps w:val="0"/>
          <w:color w:val="auto"/>
          <w:spacing w:val="0"/>
          <w:sz w:val="32"/>
          <w:szCs w:val="32"/>
          <w:shd w:val="clear" w:color="auto" w:fill="FFFFFF"/>
        </w:rPr>
        <w:t>、以组织建设为保障，强化基层基础。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both"/>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color="auto" w:fill="FFFFFF"/>
        </w:rPr>
        <w:t>在机构组建上，注重退役军人工作系统自身建设“三到位”。一是组织领导机构建立到位，成立县委退役军人事务工作领导小组，24个乡镇党委全部成立退役军人事务工作领导小组。二是行政管理机构到位，县退役军人事务局在2019年3月20日挂牌成立。三是服务保障机构到位，军休所、光荣院于4月15日整体转隶， 389个县乡村（社区）退役军人服务中心（站）于5月20日挂牌成立并运行。初步建成贯通上下，覆盖全县的退役军人服务保障体系。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both"/>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color="auto" w:fill="FFFFFF"/>
          <w:lang w:val="en-US" w:eastAsia="zh-CN"/>
        </w:rPr>
        <w:t>3</w:t>
      </w:r>
      <w:r>
        <w:rPr>
          <w:rFonts w:hint="eastAsia" w:ascii="宋体" w:hAnsi="宋体" w:eastAsia="宋体" w:cs="宋体"/>
          <w:b w:val="0"/>
          <w:bCs/>
          <w:i w:val="0"/>
          <w:caps w:val="0"/>
          <w:color w:val="auto"/>
          <w:spacing w:val="0"/>
          <w:sz w:val="32"/>
          <w:szCs w:val="32"/>
          <w:shd w:val="clear" w:color="auto" w:fill="FFFFFF"/>
        </w:rPr>
        <w:t>、以移交安置为基础，大力推进就业创业。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both"/>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color="auto" w:fill="FFFFFF"/>
        </w:rPr>
        <w:t>我县通过采取“量化评分、公开选岗”的阳光安置、服务好自主择业军转干部、妥善处理安置遗留问题等措施，圆满完成2019年度移交安置任务。2019年，我县共接受计划安置军队转业干部1人，自主择业军转干部6人，随调家属1人，共8人。符合政府安排工作条件退役士兵74人，其中转业士官69人，持安置卡的城镇退役士兵5人，接收安置军休干部(士官)5人。其次是加强退役士兵职业技能培训。 2019年共组织自主就业退役士兵137余人参加技能培训，并发放相关补助费58万余元，其中133人通过驾驶技能培训、1人获得汽车钣金技能专业结业证书，1人获得计算机操作员职业培训证书，2人获得健身教练资格证书。三是鼓励退役军人参加学历教育。我县退役军人高职扩招报名人数达到245人，超额完成市里下达的报名任务数。四是积极拓展就业创业渠道，帮助退役军人就业创业。2019年举行了6场各类退役军人现场招聘会，考察了海豚众创空间有限公司，与该公司达成退役军人创业孵化基地合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both"/>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color="auto" w:fill="FFFFFF"/>
          <w:lang w:val="en-US" w:eastAsia="zh-CN"/>
        </w:rPr>
        <w:t>4</w:t>
      </w:r>
      <w:r>
        <w:rPr>
          <w:rFonts w:hint="eastAsia" w:ascii="宋体" w:hAnsi="宋体" w:eastAsia="宋体" w:cs="宋体"/>
          <w:b w:val="0"/>
          <w:bCs/>
          <w:i w:val="0"/>
          <w:caps w:val="0"/>
          <w:color w:val="auto"/>
          <w:spacing w:val="0"/>
          <w:sz w:val="32"/>
          <w:szCs w:val="32"/>
          <w:shd w:val="clear" w:color="auto" w:fill="FFFFFF"/>
        </w:rPr>
        <w:t>、以拥军优抚为重点，全面提升优抚对象的获得感。积极开展走访慰问。春节期间和“入一”建军节前夕，对驻县部队、重点优抚对象进行座谈和走访慰问，及时足额发放各类优抚对象服务补助。组织开展退役军人基础信息采集录入、悬挂光荣牌、优抚对象短期疗养，组织县直单位、各乡镇开展创建第十一届全国双拥模范县活动、春节八一走访慰问退役军人和其他优抚对象、悬挂光荣牌、立功喜报送家、优抚对象短期疗养、送医送药入户门诊、参战老兵座谈会、抗战老兵体验高铁、烈属赴广西扫墓等活动。落实军休人员的政治待遇、生活待遇。组织开展门球、书法、钓鱼、棋牌等特色文体比赛活动，代表邵阳市组队参加全省军休门球比赛，获得第三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both"/>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color="auto" w:fill="FFFFFF"/>
          <w:lang w:val="en-US" w:eastAsia="zh-CN"/>
        </w:rPr>
        <w:t>5</w:t>
      </w:r>
      <w:r>
        <w:rPr>
          <w:rFonts w:hint="eastAsia" w:ascii="宋体" w:hAnsi="宋体" w:eastAsia="宋体" w:cs="宋体"/>
          <w:b w:val="0"/>
          <w:bCs/>
          <w:i w:val="0"/>
          <w:caps w:val="0"/>
          <w:color w:val="auto"/>
          <w:spacing w:val="0"/>
          <w:sz w:val="32"/>
          <w:szCs w:val="32"/>
          <w:shd w:val="clear" w:color="auto" w:fill="FFFFFF"/>
        </w:rPr>
        <w:t>、以英雄模范为榜样，大力弘扬英烈精神。首先是开展烈士公祭活动。组织烈属赴广西开展祭扫活动。组织县直党政机关负责人，驻县部队官兵代表，退役军人，优抚对象代表及社会各界代表参加9.30烈士公祭活动，颂扬革命先烈的崇高精神，向人民英雄致以崇高的敬意。其次是树立模范典型，弘扬浩然正气，号召退役军人向模范典型学习。2019年，我县退役军人曾国和入选“全国模范退役军人”，付丽雪被评为“邵阳市模范军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both"/>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color="auto" w:fill="FFFFFF"/>
          <w:lang w:val="en-US" w:eastAsia="zh-CN"/>
        </w:rPr>
        <w:t>6</w:t>
      </w:r>
      <w:r>
        <w:rPr>
          <w:rFonts w:hint="eastAsia" w:ascii="宋体" w:hAnsi="宋体" w:eastAsia="宋体" w:cs="宋体"/>
          <w:b w:val="0"/>
          <w:bCs/>
          <w:i w:val="0"/>
          <w:caps w:val="0"/>
          <w:color w:val="auto"/>
          <w:spacing w:val="0"/>
          <w:sz w:val="32"/>
          <w:szCs w:val="32"/>
          <w:shd w:val="clear" w:color="auto" w:fill="FFFFFF"/>
        </w:rPr>
        <w:t>、以维权帮扶为手段，增进感情化解矛盾。倾情接访，维护合法权益，凡是到各级退役军人部门工作人员都是一张笑脸、一杯热茶、一把凳子、一声问候，上访人员普遍感到暖心。同时变“上访”为“下访”，广泛开展走访，了解和解决困难，把涉军矛盾问题有效化解在基层。2019年，积极开展信访百日清零行动，处理信访清零积案、国家及省、市、县转来我单位的信访案件及信访报告、网上信访件，以及接待退役军人和其他优抚对象来访。用情做好困难援助。带着感情、带着责任对建档立卡贫困户、低保保障对象、特困人员中的退役军人和其他优抚对象因患重大疾病、遭遇突发灾害、意外伤害等特殊原因导致基本生活陷入困境的退役军人军属，进行重点关爱和帮扶，把工作前移到村，帮扶到户，提高服务质量。在现行社会救助体系暂时无法覆盖或救助之后基本生活还有严重困难的给予一定的帮扶援助。帮助做好社保接续工作，使长期以来退休拿不到工资的退役军人老有所养。我县成立了由县退役军人事务局、人社局、财政局、医保局、民政局组成的工作专班，印制社会公告1000份、政策宣传资料手册1000本，发送短信数4800条。</w:t>
      </w:r>
    </w:p>
    <w:p>
      <w:pPr>
        <w:adjustRightInd w:val="0"/>
        <w:snapToGrid w:val="0"/>
        <w:spacing w:line="600" w:lineRule="exact"/>
        <w:ind w:firstLine="640" w:firstLineChars="200"/>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lang w:eastAsia="zh-CN"/>
        </w:rPr>
        <w:t>四</w:t>
      </w:r>
      <w:r>
        <w:rPr>
          <w:rFonts w:hint="eastAsia" w:ascii="宋体" w:hAnsi="宋体" w:eastAsia="宋体" w:cs="宋体"/>
          <w:b/>
          <w:bCs w:val="0"/>
          <w:color w:val="auto"/>
          <w:sz w:val="32"/>
          <w:szCs w:val="32"/>
        </w:rPr>
        <w:t>、存在的主要问题</w:t>
      </w:r>
    </w:p>
    <w:p>
      <w:pPr>
        <w:adjustRightInd w:val="0"/>
        <w:snapToGrid w:val="0"/>
        <w:spacing w:line="600" w:lineRule="exact"/>
        <w:ind w:firstLine="640" w:firstLineChars="200"/>
        <w:rPr>
          <w:rFonts w:hint="eastAsia" w:ascii="宋体" w:hAnsi="宋体" w:eastAsia="宋体" w:cs="宋体"/>
          <w:b w:val="0"/>
          <w:bCs/>
          <w:color w:val="auto"/>
          <w:sz w:val="32"/>
          <w:szCs w:val="32"/>
        </w:rPr>
      </w:pPr>
      <w:r>
        <w:rPr>
          <w:rFonts w:hint="eastAsia" w:ascii="宋体" w:hAnsi="宋体" w:eastAsia="宋体" w:cs="宋体"/>
          <w:b w:val="0"/>
          <w:bCs/>
          <w:color w:val="auto"/>
          <w:sz w:val="32"/>
          <w:szCs w:val="32"/>
        </w:rPr>
        <w:t>根据本次预算评价情况，存在预算绩效申报时，编制的绩效目标不具体，绩效目标未完全细化分解为具体工作任务，部分绩效指标不清晰、可衡量性</w:t>
      </w:r>
      <w:r>
        <w:rPr>
          <w:rFonts w:hint="eastAsia" w:ascii="宋体" w:hAnsi="宋体" w:eastAsia="宋体" w:cs="宋体"/>
          <w:b w:val="0"/>
          <w:bCs/>
          <w:color w:val="auto"/>
          <w:sz w:val="32"/>
          <w:szCs w:val="32"/>
          <w:lang w:eastAsia="zh-CN"/>
        </w:rPr>
        <w:t>不强</w:t>
      </w:r>
      <w:r>
        <w:rPr>
          <w:rFonts w:hint="eastAsia" w:ascii="宋体" w:hAnsi="宋体" w:eastAsia="宋体" w:cs="宋体"/>
          <w:b w:val="0"/>
          <w:bCs/>
          <w:color w:val="auto"/>
          <w:sz w:val="32"/>
          <w:szCs w:val="32"/>
        </w:rPr>
        <w:t>。</w:t>
      </w:r>
    </w:p>
    <w:p>
      <w:pPr>
        <w:adjustRightInd w:val="0"/>
        <w:snapToGrid w:val="0"/>
        <w:spacing w:line="600" w:lineRule="exact"/>
        <w:ind w:firstLine="640" w:firstLineChars="200"/>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lang w:eastAsia="zh-CN"/>
        </w:rPr>
        <w:t>五</w:t>
      </w:r>
      <w:r>
        <w:rPr>
          <w:rFonts w:hint="eastAsia" w:ascii="宋体" w:hAnsi="宋体" w:eastAsia="宋体" w:cs="宋体"/>
          <w:b/>
          <w:bCs w:val="0"/>
          <w:color w:val="auto"/>
          <w:sz w:val="32"/>
          <w:szCs w:val="32"/>
        </w:rPr>
        <w:t>、改进措施和有关建议</w:t>
      </w:r>
    </w:p>
    <w:p>
      <w:pPr>
        <w:ind w:firstLine="640" w:firstLineChars="200"/>
        <w:rPr>
          <w:rFonts w:hint="eastAsia" w:ascii="宋体" w:hAnsi="宋体" w:eastAsia="宋体" w:cs="宋体"/>
          <w:b w:val="0"/>
          <w:bCs/>
          <w:color w:val="auto"/>
          <w:sz w:val="32"/>
          <w:szCs w:val="32"/>
        </w:rPr>
      </w:pPr>
      <w:r>
        <w:rPr>
          <w:rFonts w:hint="eastAsia" w:ascii="宋体" w:hAnsi="宋体" w:eastAsia="宋体" w:cs="宋体"/>
          <w:b w:val="0"/>
          <w:bCs/>
          <w:color w:val="auto"/>
          <w:sz w:val="32"/>
          <w:szCs w:val="32"/>
        </w:rPr>
        <w:t>（一）进一步规范绩效目标编制。在编制项目资金绩效目标时要求指向明确、细化量化、合理可行、相应匹配。</w:t>
      </w:r>
    </w:p>
    <w:p>
      <w:pPr>
        <w:ind w:firstLine="640" w:firstLineChars="200"/>
        <w:rPr>
          <w:rFonts w:hint="eastAsia" w:ascii="宋体" w:hAnsi="宋体" w:eastAsia="宋体" w:cs="宋体"/>
          <w:b w:val="0"/>
          <w:bCs/>
          <w:color w:val="auto"/>
          <w:sz w:val="32"/>
          <w:szCs w:val="32"/>
        </w:rPr>
      </w:pPr>
      <w:r>
        <w:rPr>
          <w:rFonts w:hint="eastAsia" w:ascii="宋体" w:hAnsi="宋体" w:eastAsia="宋体" w:cs="宋体"/>
          <w:b w:val="0"/>
          <w:bCs/>
          <w:color w:val="auto"/>
          <w:sz w:val="32"/>
          <w:szCs w:val="32"/>
        </w:rPr>
        <w:t>（二）规范账务处理，提高财务信息质量。严格按照《会计法》、《政府会计制度》等规定，结合实际情况，科学设置支出科目，规范财务核算，完整披露相关信息。</w:t>
      </w:r>
    </w:p>
    <w:p>
      <w:pPr>
        <w:ind w:firstLine="640" w:firstLineChars="200"/>
        <w:jc w:val="right"/>
        <w:rPr>
          <w:rFonts w:hint="eastAsia" w:ascii="宋体" w:hAnsi="宋体" w:eastAsia="宋体" w:cs="宋体"/>
          <w:b w:val="0"/>
          <w:bCs/>
          <w:color w:val="auto"/>
          <w:sz w:val="32"/>
          <w:szCs w:val="32"/>
        </w:rPr>
      </w:pPr>
    </w:p>
    <w:p>
      <w:pPr>
        <w:ind w:firstLine="640" w:firstLineChars="200"/>
        <w:jc w:val="right"/>
        <w:rPr>
          <w:rFonts w:hint="eastAsia" w:ascii="宋体" w:hAnsi="宋体" w:eastAsia="宋体" w:cs="宋体"/>
          <w:b w:val="0"/>
          <w:bCs/>
          <w:color w:val="auto"/>
          <w:sz w:val="32"/>
          <w:szCs w:val="32"/>
        </w:rPr>
      </w:pPr>
    </w:p>
    <w:p>
      <w:pPr>
        <w:ind w:right="735" w:rightChars="350" w:firstLine="640" w:firstLineChars="200"/>
        <w:jc w:val="right"/>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val="en-US" w:eastAsia="zh-CN"/>
        </w:rPr>
        <w:t>洞口县退役军人事务局</w:t>
      </w:r>
    </w:p>
    <w:p>
      <w:pPr>
        <w:wordWrap w:val="0"/>
        <w:ind w:right="735" w:rightChars="350" w:firstLine="640" w:firstLineChars="200"/>
        <w:jc w:val="right"/>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val="en-US" w:eastAsia="zh-CN"/>
        </w:rPr>
        <w:t xml:space="preserve">                      </w:t>
      </w:r>
      <w:r>
        <w:rPr>
          <w:rFonts w:hint="eastAsia" w:ascii="宋体" w:hAnsi="宋体" w:eastAsia="宋体" w:cs="宋体"/>
          <w:b w:val="0"/>
          <w:bCs/>
          <w:color w:val="auto"/>
          <w:sz w:val="32"/>
          <w:szCs w:val="32"/>
        </w:rPr>
        <w:t>20</w:t>
      </w:r>
      <w:r>
        <w:rPr>
          <w:rFonts w:hint="eastAsia" w:ascii="宋体" w:hAnsi="宋体" w:eastAsia="宋体" w:cs="宋体"/>
          <w:b w:val="0"/>
          <w:bCs/>
          <w:color w:val="auto"/>
          <w:sz w:val="32"/>
          <w:szCs w:val="32"/>
          <w:lang w:val="en-US" w:eastAsia="zh-CN"/>
        </w:rPr>
        <w:t>20</w:t>
      </w:r>
      <w:r>
        <w:rPr>
          <w:rFonts w:hint="eastAsia" w:ascii="宋体" w:hAnsi="宋体" w:eastAsia="宋体" w:cs="宋体"/>
          <w:b w:val="0"/>
          <w:bCs/>
          <w:color w:val="auto"/>
          <w:sz w:val="32"/>
          <w:szCs w:val="32"/>
        </w:rPr>
        <w:t>年</w:t>
      </w:r>
      <w:r>
        <w:rPr>
          <w:rFonts w:hint="eastAsia" w:ascii="宋体" w:hAnsi="宋体" w:eastAsia="宋体" w:cs="宋体"/>
          <w:b w:val="0"/>
          <w:bCs/>
          <w:color w:val="auto"/>
          <w:sz w:val="32"/>
          <w:szCs w:val="32"/>
          <w:lang w:val="en-US" w:eastAsia="zh-CN"/>
        </w:rPr>
        <w:t>6</w:t>
      </w:r>
      <w:r>
        <w:rPr>
          <w:rFonts w:hint="eastAsia" w:ascii="宋体" w:hAnsi="宋体" w:eastAsia="宋体" w:cs="宋体"/>
          <w:b w:val="0"/>
          <w:bCs/>
          <w:color w:val="auto"/>
          <w:sz w:val="32"/>
          <w:szCs w:val="32"/>
        </w:rPr>
        <w:t>月</w:t>
      </w:r>
      <w:r>
        <w:rPr>
          <w:rFonts w:hint="eastAsia" w:ascii="宋体" w:hAnsi="宋体" w:eastAsia="宋体" w:cs="宋体"/>
          <w:b w:val="0"/>
          <w:bCs/>
          <w:color w:val="auto"/>
          <w:sz w:val="32"/>
          <w:szCs w:val="32"/>
          <w:lang w:val="en-US" w:eastAsia="zh-CN"/>
        </w:rPr>
        <w:t>8</w:t>
      </w:r>
      <w:r>
        <w:rPr>
          <w:rFonts w:hint="eastAsia" w:ascii="宋体" w:hAnsi="宋体" w:eastAsia="宋体" w:cs="宋体"/>
          <w:b w:val="0"/>
          <w:bCs/>
          <w:color w:val="auto"/>
          <w:sz w:val="32"/>
          <w:szCs w:val="32"/>
        </w:rPr>
        <w:t>日</w:t>
      </w:r>
      <w:r>
        <w:rPr>
          <w:rFonts w:hint="eastAsia" w:ascii="宋体" w:hAnsi="宋体" w:eastAsia="宋体" w:cs="宋体"/>
          <w:b w:val="0"/>
          <w:bCs/>
          <w:color w:val="auto"/>
          <w:sz w:val="32"/>
          <w:szCs w:val="32"/>
          <w:lang w:val="en-US" w:eastAsia="zh-CN"/>
        </w:rPr>
        <w:t xml:space="preserve">  </w:t>
      </w:r>
    </w:p>
    <w:p>
      <w:pPr>
        <w:ind w:firstLine="640" w:firstLineChars="200"/>
        <w:jc w:val="left"/>
        <w:rPr>
          <w:rFonts w:cs="黑体" w:asciiTheme="minorEastAsia" w:hAnsiTheme="minorEastAsia"/>
          <w:color w:val="000000"/>
          <w:kern w:val="0"/>
          <w:sz w:val="32"/>
          <w:szCs w:val="32"/>
        </w:rPr>
      </w:pPr>
    </w:p>
    <w:sectPr>
      <w:pgSz w:w="11906" w:h="16838"/>
      <w:pgMar w:top="1587" w:right="1417" w:bottom="1417" w:left="1417" w:header="851" w:footer="992" w:gutter="0"/>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w Cen MT">
    <w:altName w:val="Segoe Print"/>
    <w:panose1 w:val="020B0602020104020603"/>
    <w:charset w:val="00"/>
    <w:family w:val="swiss"/>
    <w:pitch w:val="default"/>
    <w:sig w:usb0="00000000" w:usb1="00000000" w:usb2="00000000" w:usb3="00000000" w:csb0="20000003"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华文仿宋">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小标宋_GBK">
    <w:altName w:val="微软雅黑"/>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658A3"/>
    <w:rsid w:val="00074155"/>
    <w:rsid w:val="000A3F69"/>
    <w:rsid w:val="00152C6D"/>
    <w:rsid w:val="00162D39"/>
    <w:rsid w:val="001A67DB"/>
    <w:rsid w:val="001D51E5"/>
    <w:rsid w:val="001F0C3B"/>
    <w:rsid w:val="00214427"/>
    <w:rsid w:val="00265724"/>
    <w:rsid w:val="0027426B"/>
    <w:rsid w:val="003479BD"/>
    <w:rsid w:val="003768D5"/>
    <w:rsid w:val="004506F9"/>
    <w:rsid w:val="004717A2"/>
    <w:rsid w:val="00491741"/>
    <w:rsid w:val="00500E5F"/>
    <w:rsid w:val="005122EF"/>
    <w:rsid w:val="00517C33"/>
    <w:rsid w:val="00523644"/>
    <w:rsid w:val="0054069E"/>
    <w:rsid w:val="005767CC"/>
    <w:rsid w:val="00590D9F"/>
    <w:rsid w:val="00595D26"/>
    <w:rsid w:val="005A74E6"/>
    <w:rsid w:val="005D4D55"/>
    <w:rsid w:val="005E2CFB"/>
    <w:rsid w:val="0062378F"/>
    <w:rsid w:val="00651EEC"/>
    <w:rsid w:val="006A351B"/>
    <w:rsid w:val="006B0422"/>
    <w:rsid w:val="006C1B53"/>
    <w:rsid w:val="006D7730"/>
    <w:rsid w:val="006E5284"/>
    <w:rsid w:val="006F3EB5"/>
    <w:rsid w:val="00702E34"/>
    <w:rsid w:val="00704395"/>
    <w:rsid w:val="00720FF1"/>
    <w:rsid w:val="00812ED5"/>
    <w:rsid w:val="008277D9"/>
    <w:rsid w:val="008A3E8D"/>
    <w:rsid w:val="009237C4"/>
    <w:rsid w:val="00950252"/>
    <w:rsid w:val="00967F5D"/>
    <w:rsid w:val="009A0F95"/>
    <w:rsid w:val="009B3ADF"/>
    <w:rsid w:val="009C3B52"/>
    <w:rsid w:val="00A42218"/>
    <w:rsid w:val="00A6506B"/>
    <w:rsid w:val="00A70249"/>
    <w:rsid w:val="00B33BEA"/>
    <w:rsid w:val="00B57C9F"/>
    <w:rsid w:val="00B845B3"/>
    <w:rsid w:val="00B85D8B"/>
    <w:rsid w:val="00BE3674"/>
    <w:rsid w:val="00C3049A"/>
    <w:rsid w:val="00C31B1E"/>
    <w:rsid w:val="00C77645"/>
    <w:rsid w:val="00CE04C3"/>
    <w:rsid w:val="00CE76A0"/>
    <w:rsid w:val="00D148C6"/>
    <w:rsid w:val="00DD06FF"/>
    <w:rsid w:val="00DD5FE9"/>
    <w:rsid w:val="00E00C7A"/>
    <w:rsid w:val="00E55B68"/>
    <w:rsid w:val="00F74360"/>
    <w:rsid w:val="00FB462F"/>
    <w:rsid w:val="00FE16FA"/>
    <w:rsid w:val="00FE328A"/>
    <w:rsid w:val="01C237F0"/>
    <w:rsid w:val="04D75728"/>
    <w:rsid w:val="04F602DD"/>
    <w:rsid w:val="07D1524E"/>
    <w:rsid w:val="08693EFF"/>
    <w:rsid w:val="09FF724D"/>
    <w:rsid w:val="0B141C83"/>
    <w:rsid w:val="0CAC41DB"/>
    <w:rsid w:val="0EA902A4"/>
    <w:rsid w:val="10542773"/>
    <w:rsid w:val="16E236E6"/>
    <w:rsid w:val="1A4F1A6A"/>
    <w:rsid w:val="1A7907F4"/>
    <w:rsid w:val="1CB05FB9"/>
    <w:rsid w:val="25403C4D"/>
    <w:rsid w:val="273E3C5A"/>
    <w:rsid w:val="322A7F96"/>
    <w:rsid w:val="33C14289"/>
    <w:rsid w:val="342105E0"/>
    <w:rsid w:val="349A4F0D"/>
    <w:rsid w:val="35830344"/>
    <w:rsid w:val="37B66985"/>
    <w:rsid w:val="3C3D66B3"/>
    <w:rsid w:val="3C5A428D"/>
    <w:rsid w:val="3CD56C76"/>
    <w:rsid w:val="466F6B50"/>
    <w:rsid w:val="47B505D2"/>
    <w:rsid w:val="4DE01004"/>
    <w:rsid w:val="4E4F7946"/>
    <w:rsid w:val="4ED209B2"/>
    <w:rsid w:val="4F0C0E71"/>
    <w:rsid w:val="4FF75E3F"/>
    <w:rsid w:val="50B924F9"/>
    <w:rsid w:val="52074F37"/>
    <w:rsid w:val="540B6FE5"/>
    <w:rsid w:val="55DE540E"/>
    <w:rsid w:val="571C4341"/>
    <w:rsid w:val="5828358D"/>
    <w:rsid w:val="5F614509"/>
    <w:rsid w:val="62D24F3B"/>
    <w:rsid w:val="65B93D9C"/>
    <w:rsid w:val="6A3E189D"/>
    <w:rsid w:val="6B914972"/>
    <w:rsid w:val="6D3C2C3C"/>
    <w:rsid w:val="6D65316F"/>
    <w:rsid w:val="74F369DD"/>
    <w:rsid w:val="768157C8"/>
    <w:rsid w:val="7C267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rPr>
      <w:sz w:val="24"/>
    </w:rPr>
  </w:style>
  <w:style w:type="character" w:styleId="7">
    <w:name w:val="page number"/>
    <w:basedOn w:val="6"/>
    <w:qFormat/>
    <w:uiPriority w:val="0"/>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12">
    <w:name w:val="List Paragraph"/>
    <w:basedOn w:val="1"/>
    <w:qFormat/>
    <w:uiPriority w:val="34"/>
    <w:pPr>
      <w:ind w:firstLine="420" w:firstLineChars="200"/>
    </w:pPr>
  </w:style>
  <w:style w:type="character" w:customStyle="1" w:styleId="13">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CA967F-99A7-44AE-8CB3-A0222E97AF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1258</Words>
  <Characters>7176</Characters>
  <Lines>59</Lines>
  <Paragraphs>16</Paragraphs>
  <TotalTime>0</TotalTime>
  <ScaleCrop>false</ScaleCrop>
  <LinksUpToDate>false</LinksUpToDate>
  <CharactersWithSpaces>8418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2020-10-26T08:39:00Z</cp:lastPrinted>
  <dcterms:modified xsi:type="dcterms:W3CDTF">2021-06-02T01:18:27Z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