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sz w:val="72"/>
          <w:szCs w:val="72"/>
          <w:lang w:val="en-US" w:eastAsia="zh-CN"/>
        </w:rPr>
      </w:pPr>
      <w:r>
        <w:rPr>
          <w:rFonts w:hint="eastAsia"/>
          <w:sz w:val="72"/>
          <w:szCs w:val="72"/>
        </w:rPr>
        <w:t>2019年度</w:t>
      </w:r>
      <w:r>
        <w:rPr>
          <w:rFonts w:hint="eastAsia"/>
          <w:sz w:val="72"/>
          <w:szCs w:val="72"/>
          <w:lang w:val="en-US" w:eastAsia="zh-CN"/>
        </w:rPr>
        <w:t xml:space="preserve">          </w:t>
      </w:r>
    </w:p>
    <w:p>
      <w:pPr>
        <w:pStyle w:val="10"/>
        <w:jc w:val="center"/>
        <w:rPr>
          <w:sz w:val="72"/>
          <w:szCs w:val="72"/>
        </w:rPr>
      </w:pPr>
      <w:r>
        <w:rPr>
          <w:rFonts w:hint="eastAsia" w:ascii="黑体" w:eastAsia="黑体" w:cs="黑体" w:hAnsiTheme="minorHAnsi"/>
          <w:color w:val="000000"/>
          <w:kern w:val="0"/>
          <w:sz w:val="72"/>
          <w:szCs w:val="72"/>
          <w:lang w:val="en-US" w:eastAsia="zh-CN" w:bidi="ar-SA"/>
        </w:rPr>
        <w:t>洞口县住房和城乡建设局</w:t>
      </w:r>
      <w:r>
        <w:rPr>
          <w:rFonts w:hint="eastAsia" w:cs="黑体"/>
          <w:color w:val="000000"/>
          <w:kern w:val="0"/>
          <w:sz w:val="72"/>
          <w:szCs w:val="72"/>
          <w:lang w:val="en-US" w:eastAsia="zh-CN" w:bidi="ar-SA"/>
        </w:rPr>
        <w:t>(人防办)</w:t>
      </w:r>
      <w:r>
        <w:rPr>
          <w:rFonts w:hint="eastAsia"/>
          <w:sz w:val="72"/>
          <w:szCs w:val="72"/>
        </w:rPr>
        <w:t>部门决算</w:t>
      </w:r>
      <w:r>
        <w:rPr>
          <w:rFonts w:hint="eastAsia"/>
          <w:sz w:val="72"/>
          <w:szCs w:val="72"/>
          <w:lang w:eastAsia="zh-CN"/>
        </w:rPr>
        <w:t>公开</w:t>
      </w:r>
    </w:p>
    <w:p>
      <w:pPr>
        <w:pStyle w:val="10"/>
        <w:jc w:val="center"/>
        <w:rPr>
          <w:sz w:val="72"/>
          <w:szCs w:val="72"/>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both"/>
        <w:rPr>
          <w:sz w:val="56"/>
          <w:szCs w:val="56"/>
        </w:rPr>
      </w:pPr>
    </w:p>
    <w:p>
      <w:pPr>
        <w:pStyle w:val="10"/>
        <w:spacing w:line="540" w:lineRule="exact"/>
        <w:jc w:val="both"/>
        <w:rPr>
          <w:sz w:val="56"/>
          <w:szCs w:val="56"/>
        </w:rPr>
      </w:pPr>
    </w:p>
    <w:p>
      <w:pPr>
        <w:pStyle w:val="10"/>
        <w:spacing w:line="540" w:lineRule="exact"/>
        <w:jc w:val="both"/>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洞口县住房和城乡建设局（人防办）</w:t>
      </w:r>
      <w:r>
        <w:rPr>
          <w:rFonts w:hint="eastAsia"/>
          <w:b/>
          <w:sz w:val="28"/>
          <w:szCs w:val="28"/>
        </w:rPr>
        <w:t>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sz w:val="72"/>
          <w:szCs w:val="72"/>
        </w:rPr>
      </w:pPr>
      <w:bookmarkStart w:id="2" w:name="_GoBack"/>
      <w:bookmarkEnd w:id="2"/>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sz w:val="72"/>
          <w:szCs w:val="72"/>
        </w:rPr>
      </w:pPr>
      <w:r>
        <w:rPr>
          <w:rFonts w:hint="eastAsia"/>
          <w:sz w:val="72"/>
          <w:szCs w:val="72"/>
        </w:rPr>
        <w:t xml:space="preserve">第一部分 </w:t>
      </w:r>
    </w:p>
    <w:p>
      <w:pPr>
        <w:pStyle w:val="10"/>
        <w:jc w:val="center"/>
        <w:rPr>
          <w:rFonts w:hint="eastAsia"/>
          <w:sz w:val="72"/>
          <w:szCs w:val="72"/>
        </w:rPr>
      </w:pPr>
    </w:p>
    <w:p>
      <w:pPr>
        <w:pStyle w:val="10"/>
        <w:jc w:val="center"/>
        <w:rPr>
          <w:rFonts w:hint="eastAsia"/>
          <w:sz w:val="72"/>
          <w:szCs w:val="72"/>
        </w:rPr>
      </w:pPr>
      <w:r>
        <w:rPr>
          <w:rFonts w:hint="eastAsia"/>
          <w:sz w:val="72"/>
          <w:szCs w:val="72"/>
          <w:lang w:val="en-US" w:eastAsia="zh-CN"/>
        </w:rPr>
        <w:t>洞口县住房和城乡建设局</w:t>
      </w:r>
      <w:r>
        <w:rPr>
          <w:rFonts w:hint="eastAsia" w:cs="黑体"/>
          <w:color w:val="000000"/>
          <w:kern w:val="0"/>
          <w:sz w:val="72"/>
          <w:szCs w:val="72"/>
          <w:lang w:val="en-US" w:eastAsia="zh-CN" w:bidi="ar-SA"/>
        </w:rPr>
        <w:t>(人防办)</w:t>
      </w:r>
      <w:r>
        <w:rPr>
          <w:rFonts w:hint="eastAsia"/>
          <w:sz w:val="72"/>
          <w:szCs w:val="72"/>
        </w:rPr>
        <w:t>概况</w:t>
      </w:r>
    </w:p>
    <w:p>
      <w:pPr>
        <w:jc w:val="center"/>
        <w:rPr>
          <w:sz w:val="72"/>
          <w:szCs w:val="72"/>
        </w:rPr>
      </w:pPr>
    </w:p>
    <w:p>
      <w:pPr>
        <w:jc w:val="center"/>
        <w:rPr>
          <w:sz w:val="72"/>
          <w:szCs w:val="72"/>
        </w:rPr>
      </w:pPr>
    </w:p>
    <w:p>
      <w:pPr>
        <w:jc w:val="center"/>
        <w:rPr>
          <w:sz w:val="72"/>
          <w:szCs w:val="72"/>
        </w:rPr>
      </w:pPr>
    </w:p>
    <w:p>
      <w:pPr>
        <w:jc w:val="both"/>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rPr>
          <w:rFonts w:hint="eastAsia" w:ascii="仿宋_GB2312" w:hAnsi="仿宋_GB2312" w:eastAsia="仿宋_GB2312" w:cs="仿宋_GB2312"/>
          <w:b/>
          <w:bCs/>
          <w:sz w:val="28"/>
          <w:szCs w:val="28"/>
        </w:rPr>
      </w:pPr>
    </w:p>
    <w:p>
      <w:pPr>
        <w:rPr>
          <w:rFonts w:hint="eastAsia" w:ascii="楷体_GB2312" w:hAnsi="楷体_GB2312" w:eastAsia="楷体_GB2312" w:cs="楷体_GB2312"/>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一、部门职责</w:t>
      </w:r>
    </w:p>
    <w:p>
      <w:pPr>
        <w:autoSpaceDE w:val="0"/>
        <w:autoSpaceDN w:val="0"/>
        <w:adjustRightInd w:val="0"/>
        <w:spacing w:line="520" w:lineRule="exact"/>
        <w:ind w:firstLine="560" w:firstLineChars="200"/>
        <w:jc w:val="left"/>
        <w:rPr>
          <w:rFonts w:hint="eastAsia" w:ascii="仿宋_GB2312" w:hAnsi="仿宋_GB2312" w:cs="仿宋_GB2312"/>
          <w:color w:val="000000"/>
          <w:kern w:val="0"/>
          <w:sz w:val="28"/>
          <w:szCs w:val="28"/>
        </w:rPr>
      </w:pPr>
      <w:r>
        <w:rPr>
          <w:rFonts w:hint="eastAsia" w:ascii="宋体" w:hAnsi="宋体" w:eastAsia="宋体" w:cs="宋体"/>
          <w:kern w:val="0"/>
          <w:sz w:val="28"/>
          <w:szCs w:val="28"/>
          <w:lang w:val="en-US" w:eastAsia="zh-CN"/>
        </w:rPr>
        <w:t>1</w:t>
      </w:r>
      <w:r>
        <w:rPr>
          <w:rFonts w:hint="eastAsia" w:ascii="仿宋_GB2312" w:hAnsi="仿宋_GB2312" w:cs="仿宋_GB2312"/>
          <w:color w:val="000000"/>
          <w:kern w:val="0"/>
          <w:sz w:val="28"/>
          <w:szCs w:val="28"/>
          <w:lang w:val="en-US" w:eastAsia="zh-CN"/>
        </w:rPr>
        <w:t>、</w:t>
      </w:r>
      <w:r>
        <w:rPr>
          <w:rFonts w:hint="eastAsia" w:ascii="仿宋_GB2312" w:hAnsi="仿宋_GB2312" w:cs="仿宋_GB2312"/>
          <w:color w:val="000000"/>
          <w:kern w:val="0"/>
          <w:sz w:val="28"/>
          <w:szCs w:val="28"/>
        </w:rPr>
        <w:t>宣传、贯彻和执行</w:t>
      </w:r>
      <w:r>
        <w:rPr>
          <w:rFonts w:hint="eastAsia" w:ascii="仿宋_GB2312" w:hAnsi="仿宋_GB2312" w:cs="仿宋_GB2312"/>
          <w:color w:val="000000"/>
          <w:kern w:val="0"/>
          <w:sz w:val="28"/>
          <w:szCs w:val="28"/>
          <w:lang w:eastAsia="zh-CN"/>
        </w:rPr>
        <w:t>国家、省、市关于</w:t>
      </w:r>
      <w:r>
        <w:rPr>
          <w:rFonts w:hint="eastAsia" w:ascii="仿宋_GB2312" w:hAnsi="仿宋_GB2312" w:cs="仿宋_GB2312"/>
          <w:color w:val="000000"/>
          <w:kern w:val="0"/>
          <w:sz w:val="28"/>
          <w:szCs w:val="28"/>
        </w:rPr>
        <w:t>住房和城乡建设事业的法律法规和方针政策。拟订全县住房和城乡建设相关行业发展战略、</w:t>
      </w:r>
      <w:r>
        <w:rPr>
          <w:rFonts w:hint="eastAsia" w:ascii="仿宋_GB2312" w:hAnsi="仿宋_GB2312" w:cs="仿宋_GB2312"/>
          <w:color w:val="000000"/>
          <w:kern w:val="0"/>
          <w:sz w:val="28"/>
          <w:szCs w:val="28"/>
          <w:lang w:eastAsia="zh-CN"/>
        </w:rPr>
        <w:t>中长期</w:t>
      </w:r>
      <w:r>
        <w:rPr>
          <w:rFonts w:hint="eastAsia" w:ascii="仿宋_GB2312" w:hAnsi="仿宋_GB2312" w:cs="仿宋_GB2312"/>
          <w:color w:val="000000"/>
          <w:kern w:val="0"/>
          <w:sz w:val="28"/>
          <w:szCs w:val="28"/>
        </w:rPr>
        <w:t>发展规划、年度计划及政策和规章制度并监督执行。</w:t>
      </w:r>
    </w:p>
    <w:p>
      <w:pPr>
        <w:autoSpaceDE w:val="0"/>
        <w:autoSpaceDN w:val="0"/>
        <w:adjustRightInd w:val="0"/>
        <w:spacing w:line="520" w:lineRule="exact"/>
        <w:ind w:firstLine="560" w:firstLineChars="20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lang w:val="en-US" w:eastAsia="zh-CN"/>
        </w:rPr>
        <w:t>2、</w:t>
      </w:r>
      <w:r>
        <w:rPr>
          <w:rFonts w:hint="eastAsia" w:ascii="仿宋_GB2312" w:hAnsi="仿宋_GB2312" w:cs="仿宋_GB2312"/>
          <w:color w:val="000000"/>
          <w:kern w:val="0"/>
          <w:sz w:val="28"/>
          <w:szCs w:val="28"/>
        </w:rPr>
        <w:t>依法依规归集应用于住房和城乡建设的各类资金。负责城市基础设施建设配套费、城市房屋征收补偿款、住宅专项维修资金、物业保修金等建设类收费及其他专项资金的征收和管理，具体负责城乡建设项目资金计划、管理和使用；组织城市建设项目预（决）算审查；指导、监督住房和城乡建设专项经费的使用和所属企事业单位国有资产管理；负责住房和城乡建设（人民防空）系统综合统计和内部审计。</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3、负责住房保障和住房制度改革工作。负责保障性住房和直管公房的管理和监管；会同有关部门做好保障性住房资金安排和资金监管；负责棚户区改造项目的监督管理；指导住房建设和住房制度改革。</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承担城市新建基础设施建设的计划和监管职责。负责城市基础设施建设项目的计划编制、设计方案审核、建设监管、综合协调、竣工验收和移交等工作；负责燃气行业管理工作，负责工程建设项目的附属绿化工程设计方案审查和竣工验收；负责拟订海绵城市、地下管线管廊等建设项目的计划编制并督促指导实施；参与重点工程建设监管。</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承担城市设计和建筑勘察设计行业管理的职责。负责建设工程项目建筑方案审查和初步设计审查；负责施工图审查的监督管理及其备案；负责房屋建筑及构筑物抗震设防、消防、人防、防雷的设计监督管理；负责勘察设计业的资质管理和参与相关注册执业管理。</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承担规范房地产市场秩序、监督管理房地产市场的职责。负责房地产开发企业、房产中介机构的资质管理；负责商品房资本金监控、商品房预售及预售资金监管。负责全县国有土地上房屋征收和补偿工作；负责全县物业管理活动的监督管理；负责白蚁防治管理。</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负责全县建筑市场的监督管理。负责建设工程施工、建设工程监理、建设工程造价、预搅拌混凝土（砂浆）质量、建设工程质量检测和安全生产监督等工作；负责建筑业各类执业、从业人员的资格、资质、上岗从业等各证照的权限内考试考核及再教育工作；负责组织建设项目施工许可阶段并联审批；负责组织建设项目竣工验收阶段的并联竣工验收、竣工验收备案和档案归集；负责建设行业权限内行政许可的审核、许可、报批及动态管理；负责对施工现场进行监督、管理；负责建筑施工企业安全生产管理体系评估；组织建设工程质量事故和安全事故的调查处理；监督管理建设工程交易活动；负责对房屋装饰装修行业进行监督、管理；负责组织县属直管公房房屋安全鉴定；负责对工程建设领域社会中介机构的监管。</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负责指导、监督和协调建制镇、集镇、村庄的建设和管理；负责乡村建设项目设计方案审查和初步设计审查；负责指导、监督和协调新型城镇化建设和管理；指导重点（示范、特色）镇审查报批和建设；负责城镇建设档案管理；会同有关部门负责历史文化名城（镇、村）及传统村落的保护和监督管理。</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负责建筑节能与建设科技工作。拟订建筑节能政策、规划并监督实施；组织实施重大建筑节能项目；负责民用和公共建筑节能管理；组织建设行业科技项目攻关和新技术开发利用，管理行业科技成果及推广应用；指导房屋墙体材料革新工作。</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负责住房和城乡建设（人民防空）行业人才队伍建设、行业资质和信用信息管理。负责住房和城乡建设（人民防空）系统职工队伍、专业技术培训和继续教育，承担专业技术职称和执业资格管理的有关工作；指导住房和城乡建设（人民防空）系统的思想政治工作和精神文明建设，管理所属单位的组织人事、机构编制和干部队伍建设；负责住房和城乡建设部规定的住房和城乡建设（人民防空）行业资质管理和各类专业机构的设立、更名、初审或审批；负责住房和城乡建设（人民防空）行业信用信息管理。</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负责拟订住房和城乡建设行业的规范性文件并监督实施；负责住房和城乡建设行业的行政执法监督和依法行政工作；检查监督建设行业各类从业人员依法执业情况；指导住房和建设（人民防空）系统普法宣传教育。</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12、负责宣传贯彻执行招投标法律、法规；负责受理招投标投诉，依法查处招投标活动中的违法违规行为；负责建设工程项目标后稽查；负责房屋建筑与市政工程（含装饰装修工程）项目招投标活动的监督管理。</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13、负责建设工程消防设计审核、消防验收、备案和抽查。</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14、负责建设工程造价管理。拟订建设标准和工程造价的管理制度；指导监督各类工程建设标准定额的实施和工程造价计价，组织发布工程造价信息。</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15、宣传、贯彻和执行国家、省、市关于人民防空的法律法规和方针政策。拟订全县人民防空工作的规范性文件，组织编制人民防空建设发展战略各类规划、年度计划及政策和规章制度并监督执行。</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16、根据国家批准的防护类别、防护标准，会同有关部门组织编制审批城市平战结合防护建设发展规划、城市地下空间开发利用规划；重要经济目标防护规划和人民防空建设规划并监督实施，负责城市地下空间开发利用兼顾人民防空要求的管理和监督检查，依法对城市和重要区位、重要经济目标的人民防空建设进行监督检查。</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17、组织指导城市人民防空方案制订、群众防空组织（人民防空专业队）建设和训练、防空防灾演练演习、重要经济目标防护演练、疏散体系建设，协助军事部门指导城市防卫建设；负责全县人防行政执法稽查工作。</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18、组织管理人民防空工程和通信、信息化建设。</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19、会同有关部门组织开展人民防空宣传教育，普及人民防空知识和技能。组织人民防空干部、技术人员培训。组织开展人民防空科学技术研究创新，推广应用科技成果</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20、管理人民防空经费和资产，负责人民防空行政性收费管理工作，承担人民防空行政性规费的征收；编制人民防空经费预决算，对使用情况实施监督检查。</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21、认真贯彻军民融合发展战略和平战结合方针。负责人防平战结合工作，负责人防工程设施开发利用，落实平战转换措施。承担政府赋予的应急救援任务，利用人民防空设施和人民防空专业队为应急救援服务，参与有关部门组织的抢险救灾、应急救援的相关工作。</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22、战时组织开展城市人民防空袭斗争。收集、整合空袭信息，制定防范和减轻空袭危害的行动计划和预案；发放防空袭警报信息；组织信息防护、人员疏散隐蔽、物资转移和重要经济目标的防护；组织人防专业队抢险抢修，指导人民群众自救互救，组织恢复生产和生活秩序，消除空袭后果。</w:t>
      </w:r>
    </w:p>
    <w:p>
      <w:pPr>
        <w:autoSpaceDE w:val="0"/>
        <w:autoSpaceDN w:val="0"/>
        <w:adjustRightInd w:val="0"/>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23、承办县委、县人民政府、县人民武装部和县国防动员委员会交办的其他事项。</w:t>
      </w:r>
    </w:p>
    <w:p>
      <w:pPr>
        <w:rPr>
          <w:rFonts w:hint="eastAsia" w:ascii="宋体" w:hAnsi="宋体" w:eastAsia="宋体" w:cs="宋体"/>
          <w:b/>
          <w:bCs/>
          <w:sz w:val="28"/>
          <w:szCs w:val="28"/>
        </w:rPr>
      </w:pPr>
      <w:r>
        <w:rPr>
          <w:rFonts w:hint="eastAsia" w:ascii="宋体" w:hAnsi="宋体" w:eastAsia="宋体" w:cs="宋体"/>
          <w:b/>
          <w:bCs/>
          <w:sz w:val="28"/>
          <w:szCs w:val="28"/>
        </w:rPr>
        <w:t>二、机构设置及决算单位构成</w:t>
      </w:r>
    </w:p>
    <w:p>
      <w:pPr>
        <w:autoSpaceDE w:val="0"/>
        <w:autoSpaceDN w:val="0"/>
        <w:adjustRightInd w:val="0"/>
        <w:spacing w:line="520" w:lineRule="exact"/>
        <w:ind w:firstLine="560" w:firstLineChars="20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1、内设机构设置</w:t>
      </w:r>
    </w:p>
    <w:p>
      <w:pPr>
        <w:autoSpaceDE w:val="0"/>
        <w:autoSpaceDN w:val="0"/>
        <w:adjustRightInd w:val="0"/>
        <w:spacing w:line="520" w:lineRule="exact"/>
        <w:ind w:firstLine="560" w:firstLineChars="20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我住建局（人防办）是负责全县住房城乡建设（人防）行政管理的政府组成部门。本年因机构改革县人民防空办公室于2019年4月份与我局合署办公，一套机构两块牌子。本年度末我单位财政全额供给在职人员37人（其中行政工勤人员3人、人防中心4人），退休人员16人，遗属补助人员2人。内设机构为12个，包括：办公室、政工股、政策法规股、计划财务股、城市建设管理股、勘察设计管理股、建筑工程管理股、建设工程消防管理股、村镇建设股、住房保障股、房地产监管股、人防指挥通信股；内设事业单位1个：洞口县人民防空指挥信息保障中心。下属二级机构7个：建设工程管理站、建设工程质量监督站、公用事业管理局、白蚁防治所、建设工程勘察设计院、市政工程建设有限公司、县自来水公司。</w:t>
      </w:r>
    </w:p>
    <w:p>
      <w:pPr>
        <w:autoSpaceDE w:val="0"/>
        <w:autoSpaceDN w:val="0"/>
        <w:adjustRightInd w:val="0"/>
        <w:spacing w:line="520" w:lineRule="exact"/>
        <w:ind w:firstLine="560" w:firstLineChars="20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2、部门决算单位构成</w:t>
      </w:r>
    </w:p>
    <w:p>
      <w:pPr>
        <w:autoSpaceDE w:val="0"/>
        <w:autoSpaceDN w:val="0"/>
        <w:adjustRightInd w:val="0"/>
        <w:spacing w:line="520" w:lineRule="exact"/>
        <w:ind w:firstLine="560" w:firstLineChars="20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本单位2019年部门决算汇总公开单位构成：洞口县住房和城乡建设局（人防办）机关本级。所属7个二级机构均为独立核算单位，单独编制决算报表并各自公开。</w:t>
      </w: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p>
    <w:p>
      <w:pPr>
        <w:autoSpaceDE w:val="0"/>
        <w:autoSpaceDN w:val="0"/>
        <w:adjustRightInd w:val="0"/>
        <w:spacing w:line="520" w:lineRule="exact"/>
        <w:ind w:firstLine="700" w:firstLineChars="250"/>
        <w:jc w:val="left"/>
        <w:rPr>
          <w:rFonts w:hint="eastAsia" w:ascii="仿宋_GB2312" w:hAnsi="仿宋_GB2312" w:cs="仿宋_GB2312"/>
          <w:color w:val="000000"/>
          <w:kern w:val="0"/>
          <w:sz w:val="28"/>
          <w:szCs w:val="28"/>
          <w:lang w:val="en-US"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r>
        <w:rPr>
          <w:rFonts w:hint="eastAsia"/>
          <w:sz w:val="72"/>
          <w:szCs w:val="72"/>
        </w:rPr>
        <w:t>第二部分</w:t>
      </w:r>
    </w:p>
    <w:p>
      <w:pPr>
        <w:pStyle w:val="10"/>
        <w:jc w:val="center"/>
        <w:rPr>
          <w:rFonts w:hint="eastAsia"/>
          <w:sz w:val="72"/>
          <w:szCs w:val="72"/>
        </w:rPr>
      </w:pPr>
    </w:p>
    <w:p>
      <w:pPr>
        <w:pStyle w:val="10"/>
        <w:jc w:val="center"/>
        <w:rPr>
          <w:rFonts w:hint="eastAsia"/>
          <w:sz w:val="72"/>
          <w:szCs w:val="72"/>
        </w:rPr>
      </w:pPr>
      <w:r>
        <w:rPr>
          <w:rFonts w:hint="eastAsia"/>
          <w:sz w:val="72"/>
          <w:szCs w:val="72"/>
        </w:rPr>
        <w:t>部门决算表</w:t>
      </w:r>
    </w:p>
    <w:p>
      <w:pPr>
        <w:pStyle w:val="10"/>
        <w:jc w:val="center"/>
        <w:rPr>
          <w:rFonts w:hint="eastAsia"/>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7"/>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56"/>
        <w:gridCol w:w="523"/>
        <w:gridCol w:w="3134"/>
        <w:gridCol w:w="3274"/>
        <w:gridCol w:w="523"/>
        <w:gridCol w:w="3352"/>
        <w:gridCol w:w="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66" w:hRule="atLeast"/>
        </w:trPr>
        <w:tc>
          <w:tcPr>
            <w:tcW w:w="13862" w:type="dxa"/>
            <w:gridSpan w:val="6"/>
            <w:shd w:val="clear" w:color="auto" w:fill="auto"/>
            <w:vAlign w:val="bottom"/>
          </w:tcPr>
          <w:p>
            <w:pPr>
              <w:widowControl/>
              <w:ind w:firstLine="5760" w:firstLineChars="1600"/>
              <w:jc w:val="both"/>
              <w:rPr>
                <w:rFonts w:hint="eastAsia" w:ascii="Times New Roman" w:hAnsi="Times New Roman" w:eastAsia="方正小标宋_GBK" w:cs="Times New Roman"/>
                <w:color w:val="000000"/>
                <w:kern w:val="0"/>
                <w:sz w:val="36"/>
                <w:szCs w:val="36"/>
                <w:lang w:val="en-US" w:eastAsia="zh-CN"/>
              </w:rPr>
            </w:pPr>
          </w:p>
          <w:p>
            <w:pPr>
              <w:widowControl/>
              <w:ind w:firstLine="5760" w:firstLineChars="1600"/>
              <w:jc w:val="both"/>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lang w:val="en-US" w:eastAsia="zh-CN"/>
              </w:rPr>
              <w:t>收入</w:t>
            </w:r>
            <w:r>
              <w:rPr>
                <w:rFonts w:ascii="Times New Roman" w:hAnsi="Times New Roman" w:eastAsia="方正小标宋_GBK" w:cs="Times New Roman"/>
                <w:color w:val="000000"/>
                <w:kern w:val="0"/>
                <w:sz w:val="36"/>
                <w:szCs w:val="36"/>
              </w:rPr>
              <w:t>支出决算</w:t>
            </w:r>
            <w:r>
              <w:rPr>
                <w:rFonts w:hint="eastAsia" w:ascii="Times New Roman" w:hAnsi="Times New Roman" w:eastAsia="方正小标宋_GBK" w:cs="Times New Roman"/>
                <w:color w:val="000000"/>
                <w:kern w:val="0"/>
                <w:sz w:val="36"/>
                <w:szCs w:val="36"/>
                <w:lang w:eastAsia="zh-CN"/>
              </w:rPr>
              <w:t>总</w:t>
            </w:r>
            <w:r>
              <w:rPr>
                <w:rFonts w:ascii="Times New Roman" w:hAnsi="Times New Roman" w:eastAsia="方正小标宋_GBK" w:cs="Times New Roman"/>
                <w:color w:val="000000"/>
                <w:kern w:val="0"/>
                <w:sz w:val="36"/>
                <w:szCs w:val="36"/>
              </w:rPr>
              <w:t>表</w:t>
            </w:r>
          </w:p>
          <w:p>
            <w:pPr>
              <w:widowControl/>
              <w:spacing w:line="400" w:lineRule="exact"/>
              <w:jc w:val="left"/>
              <w:rPr>
                <w:rFonts w:hint="eastAsia" w:ascii="宋体" w:hAnsi="宋体" w:eastAsia="宋体" w:cs="宋体"/>
                <w:color w:val="000000"/>
                <w:kern w:val="0"/>
                <w:sz w:val="21"/>
                <w:szCs w:val="21"/>
              </w:rPr>
            </w:pPr>
            <w:r>
              <w:rPr>
                <w:rFonts w:ascii="Times New Roman" w:hAnsi="Times New Roman" w:eastAsia="仿宋_GB2312" w:cs="Times New Roman"/>
                <w:color w:val="000000"/>
                <w:kern w:val="0"/>
                <w:sz w:val="24"/>
                <w:szCs w:val="24"/>
              </w:rPr>
              <w:t xml:space="preserve"> </w:t>
            </w:r>
            <w:r>
              <w:rPr>
                <w:rFonts w:hint="eastAsia" w:ascii="宋体" w:hAnsi="宋体" w:eastAsia="宋体" w:cs="宋体"/>
                <w:color w:val="000000"/>
                <w:kern w:val="0"/>
                <w:sz w:val="21"/>
                <w:szCs w:val="21"/>
              </w:rPr>
              <w:t xml:space="preserve">部门：湖南省洞口县住房和城乡建设局机关                                                                      </w:t>
            </w:r>
            <w:r>
              <w:rPr>
                <w:rFonts w:hint="eastAsia" w:ascii="宋体" w:hAnsi="宋体" w:eastAsia="宋体" w:cs="宋体"/>
                <w:color w:val="000000"/>
                <w:kern w:val="0"/>
                <w:sz w:val="21"/>
                <w:szCs w:val="21"/>
                <w:lang w:val="en-US" w:eastAsia="zh-CN"/>
              </w:rPr>
              <w:t xml:space="preserve">         公开01表</w:t>
            </w:r>
            <w:r>
              <w:rPr>
                <w:rFonts w:hint="eastAsia" w:ascii="宋体" w:hAnsi="宋体" w:eastAsia="宋体" w:cs="宋体"/>
                <w:color w:val="000000"/>
                <w:kern w:val="0"/>
                <w:sz w:val="21"/>
                <w:szCs w:val="21"/>
              </w:rPr>
              <w:t xml:space="preserve">                                           </w:t>
            </w:r>
          </w:p>
          <w:p>
            <w:pPr>
              <w:widowControl/>
              <w:spacing w:line="400" w:lineRule="exact"/>
              <w:ind w:firstLine="12390" w:firstLineChars="59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单位：万元</w:t>
            </w:r>
          </w:p>
          <w:p>
            <w:pPr>
              <w:jc w:val="center"/>
              <w:rPr>
                <w:rFonts w:hint="default" w:ascii="Arial" w:hAnsi="Arial" w:cs="Arial"/>
                <w:i w:val="0"/>
                <w:color w:val="000000"/>
                <w:sz w:val="20"/>
                <w:szCs w:val="20"/>
                <w:u w:val="none"/>
              </w:rPr>
            </w:pP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713"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149"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13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35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3"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3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3"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35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9,377.92</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1,880.62</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2,580.10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5,880.49</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165.03</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35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13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7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35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1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327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35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38"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6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c>
          <w:tcPr>
            <w:tcW w:w="38" w:type="dxa"/>
            <w:shd w:val="clear" w:color="auto" w:fill="auto"/>
            <w:vAlign w:val="bottom"/>
          </w:tcPr>
          <w:p>
            <w:pPr>
              <w:rPr>
                <w:rFonts w:hint="default" w:ascii="Arial" w:hAnsi="Arial" w:cs="Arial"/>
                <w:i w:val="0"/>
                <w:color w:val="000000"/>
                <w:sz w:val="20"/>
                <w:szCs w:val="20"/>
                <w:u w:val="none"/>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79"/>
        <w:gridCol w:w="3931"/>
        <w:gridCol w:w="1784"/>
        <w:gridCol w:w="1875"/>
        <w:gridCol w:w="1329"/>
        <w:gridCol w:w="1012"/>
        <w:gridCol w:w="1069"/>
        <w:gridCol w:w="956"/>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66" w:hRule="atLeast"/>
        </w:trPr>
        <w:tc>
          <w:tcPr>
            <w:tcW w:w="15125" w:type="dxa"/>
            <w:gridSpan w:val="9"/>
            <w:shd w:val="clear" w:color="auto" w:fill="auto"/>
            <w:vAlign w:val="bottom"/>
          </w:tcPr>
          <w:p>
            <w:pPr>
              <w:widowControl/>
              <w:ind w:firstLine="5760" w:firstLineChars="1600"/>
              <w:jc w:val="both"/>
              <w:rPr>
                <w:rFonts w:hint="eastAsia" w:ascii="Times New Roman" w:hAnsi="Times New Roman" w:eastAsia="方正小标宋_GBK" w:cs="Times New Roman"/>
                <w:color w:val="000000"/>
                <w:kern w:val="0"/>
                <w:sz w:val="36"/>
                <w:szCs w:val="36"/>
                <w:lang w:val="en-US" w:eastAsia="zh-CN"/>
              </w:rPr>
            </w:pPr>
          </w:p>
          <w:p>
            <w:pPr>
              <w:widowControl/>
              <w:ind w:firstLine="5760" w:firstLineChars="1600"/>
              <w:jc w:val="both"/>
              <w:rPr>
                <w:rFonts w:hint="eastAsia" w:ascii="Times New Roman" w:hAnsi="Times New Roman" w:eastAsia="方正小标宋_GBK" w:cs="Times New Roman"/>
                <w:color w:val="000000"/>
                <w:kern w:val="0"/>
                <w:sz w:val="36"/>
                <w:szCs w:val="36"/>
                <w:lang w:val="en-US" w:eastAsia="zh-CN"/>
              </w:rPr>
            </w:pPr>
          </w:p>
          <w:p>
            <w:pPr>
              <w:widowControl/>
              <w:ind w:firstLine="5760" w:firstLineChars="1600"/>
              <w:jc w:val="both"/>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lang w:val="en-US" w:eastAsia="zh-CN"/>
              </w:rPr>
              <w:t>收入</w:t>
            </w:r>
            <w:r>
              <w:rPr>
                <w:rFonts w:ascii="Times New Roman" w:hAnsi="Times New Roman" w:eastAsia="方正小标宋_GBK" w:cs="Times New Roman"/>
                <w:color w:val="000000"/>
                <w:kern w:val="0"/>
                <w:sz w:val="36"/>
                <w:szCs w:val="36"/>
              </w:rPr>
              <w:t>决算表</w:t>
            </w:r>
          </w:p>
          <w:p>
            <w:pPr>
              <w:widowControl/>
              <w:spacing w:line="400" w:lineRule="exact"/>
              <w:jc w:val="left"/>
              <w:rPr>
                <w:rFonts w:hint="eastAsia" w:ascii="宋体" w:hAnsi="宋体" w:eastAsia="宋体" w:cs="宋体"/>
                <w:color w:val="000000"/>
                <w:kern w:val="0"/>
                <w:sz w:val="21"/>
                <w:szCs w:val="21"/>
              </w:rPr>
            </w:pPr>
            <w:r>
              <w:rPr>
                <w:rFonts w:ascii="Times New Roman" w:hAnsi="Times New Roman" w:eastAsia="仿宋_GB2312" w:cs="Times New Roman"/>
                <w:color w:val="000000"/>
                <w:kern w:val="0"/>
                <w:sz w:val="24"/>
                <w:szCs w:val="24"/>
              </w:rPr>
              <w:t xml:space="preserve"> </w:t>
            </w:r>
            <w:r>
              <w:rPr>
                <w:rFonts w:hint="eastAsia" w:ascii="宋体" w:hAnsi="宋体" w:eastAsia="宋体" w:cs="宋体"/>
                <w:color w:val="000000"/>
                <w:kern w:val="0"/>
                <w:sz w:val="21"/>
                <w:szCs w:val="21"/>
              </w:rPr>
              <w:t xml:space="preserve">部门：湖南省洞口县住房和城乡建设局机关                                                                      </w:t>
            </w:r>
            <w:r>
              <w:rPr>
                <w:rFonts w:hint="eastAsia" w:ascii="宋体" w:hAnsi="宋体" w:eastAsia="宋体" w:cs="宋体"/>
                <w:color w:val="000000"/>
                <w:kern w:val="0"/>
                <w:sz w:val="21"/>
                <w:szCs w:val="21"/>
                <w:lang w:val="en-US" w:eastAsia="zh-CN"/>
              </w:rPr>
              <w:t xml:space="preserve">                      公开02表</w:t>
            </w:r>
            <w:r>
              <w:rPr>
                <w:rFonts w:hint="eastAsia" w:ascii="宋体" w:hAnsi="宋体" w:eastAsia="宋体" w:cs="宋体"/>
                <w:color w:val="000000"/>
                <w:kern w:val="0"/>
                <w:sz w:val="21"/>
                <w:szCs w:val="21"/>
              </w:rPr>
              <w:t xml:space="preserve">                                           </w:t>
            </w:r>
          </w:p>
          <w:p>
            <w:pPr>
              <w:widowControl/>
              <w:spacing w:line="400" w:lineRule="exact"/>
              <w:ind w:firstLine="13650" w:firstLineChars="6500"/>
              <w:jc w:val="left"/>
              <w:rPr>
                <w:rFonts w:hint="default" w:ascii="Arial" w:hAnsi="Arial" w:cs="Arial"/>
                <w:i w:val="0"/>
                <w:color w:val="000000"/>
                <w:sz w:val="20"/>
                <w:szCs w:val="20"/>
                <w:u w:val="none"/>
              </w:rPr>
            </w:pPr>
            <w:r>
              <w:rPr>
                <w:rFonts w:hint="eastAsia" w:ascii="宋体" w:hAnsi="宋体" w:eastAsia="宋体" w:cs="宋体"/>
                <w:color w:val="000000"/>
                <w:kern w:val="0"/>
                <w:sz w:val="21"/>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1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8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87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2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1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6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5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9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179"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8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2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179"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8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2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179"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8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2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1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10"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10"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11,258.54</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11,258.54</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人民防空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其他国防支出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其他国防支出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2,580.10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2,580.10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水体</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5,880.49</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5,880.49</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449.18</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449.18</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265.49</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265.49</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工程建设标准规范编制与监管</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41.54</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41.54</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工程建设管理</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住宅建设与房地产市场监管</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3,451.21</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3,451.21</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2,981.21</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2,981.21</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其他污水处理费安排的支出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棚户区改造专项债券收入安排的支出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2121699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其他棚户区改造专项债券收入安排的支出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2129901</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165.03</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165.03</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南水北调</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2130409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环境、移民及水资源管理与保护</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1,577.85</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1,577.85</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棚户区改造</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274.85</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274.85</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城乡社区住宅</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其他城乡社区住宅支出</w:t>
            </w:r>
          </w:p>
        </w:tc>
        <w:tc>
          <w:tcPr>
            <w:tcW w:w="178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8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12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rPr>
          <w:rFonts w:hint="eastAsia" w:ascii="Times New Roman" w:hAnsi="Times New Roman" w:eastAsia="方正小标宋_GBK" w:cs="Times New Roman"/>
          <w:color w:val="000000"/>
          <w:kern w:val="0"/>
          <w:sz w:val="36"/>
          <w:szCs w:val="36"/>
          <w:lang w:val="en-US" w:eastAsia="zh-CN"/>
        </w:rPr>
      </w:pPr>
    </w:p>
    <w:p>
      <w:pPr>
        <w:widowControl/>
        <w:ind w:firstLine="5760" w:firstLineChars="1600"/>
        <w:jc w:val="both"/>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jc w:val="left"/>
        <w:rPr>
          <w:rFonts w:hint="eastAsia" w:ascii="宋体" w:hAnsi="宋体" w:eastAsia="宋体" w:cs="宋体"/>
          <w:color w:val="000000"/>
          <w:kern w:val="0"/>
          <w:sz w:val="21"/>
          <w:szCs w:val="21"/>
        </w:rPr>
      </w:pPr>
      <w:r>
        <w:rPr>
          <w:rFonts w:ascii="Times New Roman" w:hAnsi="Times New Roman" w:eastAsia="仿宋_GB2312" w:cs="Times New Roman"/>
          <w:color w:val="000000"/>
          <w:kern w:val="0"/>
          <w:sz w:val="21"/>
          <w:szCs w:val="21"/>
        </w:rPr>
        <w:t xml:space="preserve"> </w:t>
      </w:r>
      <w:r>
        <w:rPr>
          <w:rFonts w:hint="eastAsia" w:ascii="宋体" w:hAnsi="宋体" w:eastAsia="宋体" w:cs="宋体"/>
          <w:color w:val="000000"/>
          <w:kern w:val="0"/>
          <w:sz w:val="21"/>
          <w:szCs w:val="21"/>
        </w:rPr>
        <w:t xml:space="preserve">部门：湖南省洞口县住房和城乡建设局机关                                                                      </w:t>
      </w:r>
      <w:r>
        <w:rPr>
          <w:rFonts w:hint="eastAsia" w:ascii="宋体" w:hAnsi="宋体" w:eastAsia="宋体" w:cs="宋体"/>
          <w:color w:val="000000"/>
          <w:kern w:val="0"/>
          <w:sz w:val="21"/>
          <w:szCs w:val="21"/>
          <w:lang w:val="en-US" w:eastAsia="zh-CN"/>
        </w:rPr>
        <w:t xml:space="preserve">                     公开03表</w:t>
      </w:r>
      <w:r>
        <w:rPr>
          <w:rFonts w:hint="eastAsia" w:ascii="宋体" w:hAnsi="宋体" w:eastAsia="宋体" w:cs="宋体"/>
          <w:color w:val="000000"/>
          <w:kern w:val="0"/>
          <w:sz w:val="21"/>
          <w:szCs w:val="21"/>
        </w:rPr>
        <w:t xml:space="preserve">                                           </w:t>
      </w:r>
    </w:p>
    <w:p>
      <w:pPr>
        <w:widowControl/>
        <w:spacing w:line="400" w:lineRule="exact"/>
        <w:ind w:firstLine="13650" w:firstLineChars="65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单位：万元</w:t>
      </w:r>
    </w:p>
    <w:tbl>
      <w:tblPr>
        <w:tblStyle w:val="7"/>
        <w:tblW w:w="14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21"/>
        <w:gridCol w:w="3931"/>
        <w:gridCol w:w="1801"/>
        <w:gridCol w:w="1609"/>
        <w:gridCol w:w="1528"/>
        <w:gridCol w:w="1380"/>
        <w:gridCol w:w="138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552"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0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28"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38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38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69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21"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2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21"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2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21"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2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552"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2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8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9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5552"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11,258.54</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2,192.92</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9,065.62</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人民防空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其他国防支出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其他国防支出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2,580.10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水体</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66.24</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66.24</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5,880.49</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1,442.82</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4,437.67</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449.18</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307.64</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141.54</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265.49</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265.49</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工程建设标准规范编制与监管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41.54</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41.54</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工程建设管理</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住宅建设与房地产市场监管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3,451.21</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612.60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2,838.61</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2,981.21</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342.60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2,638.61</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426.73</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其他污水处理费安排的支出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棚户区改造专项债券收入安排的支出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2121699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其他棚户区改造专项债券收入安排的支出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2129901</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165.03</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南水北调</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2130409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环境、移民及水资源管理与保护</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1,577.85</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1,577.85</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棚户区改造</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274.85</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274.85</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城乡社区住宅</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其他城乡社区住宅支出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60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2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945"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widowControl/>
        <w:jc w:val="left"/>
        <w:rPr>
          <w:rFonts w:ascii="Times New Roman" w:hAnsi="Times New Roman" w:eastAsia="仿宋_GB2312" w:cs="Times New Roman"/>
          <w:bCs/>
          <w:kern w:val="0"/>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right="630"/>
        <w:jc w:val="both"/>
        <w:rPr>
          <w:rFonts w:hint="eastAsia" w:ascii="宋体" w:hAnsi="宋体" w:eastAsia="宋体" w:cs="宋体"/>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color w:val="000000"/>
          <w:kern w:val="0"/>
          <w:szCs w:val="21"/>
          <w:lang w:eastAsia="zh-CN"/>
        </w:rPr>
        <w:t>湖南省洞口县住房和城乡建设局机关</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公</w:t>
      </w:r>
      <w:r>
        <w:rPr>
          <w:rFonts w:hint="eastAsia" w:ascii="宋体" w:hAnsi="宋体" w:eastAsia="宋体" w:cs="宋体"/>
          <w:color w:val="000000"/>
          <w:kern w:val="0"/>
          <w:szCs w:val="21"/>
          <w:lang w:eastAsia="zh-CN"/>
        </w:rPr>
        <w:t>开</w:t>
      </w:r>
      <w:r>
        <w:rPr>
          <w:rFonts w:hint="eastAsia" w:ascii="宋体" w:hAnsi="宋体" w:eastAsia="宋体" w:cs="宋体"/>
          <w:color w:val="000000"/>
          <w:kern w:val="0"/>
          <w:szCs w:val="21"/>
        </w:rPr>
        <w:t>04表</w:t>
      </w:r>
    </w:p>
    <w:p>
      <w:pPr>
        <w:widowControl/>
        <w:tabs>
          <w:tab w:val="left" w:pos="13725"/>
          <w:tab w:val="left" w:pos="13755"/>
          <w:tab w:val="left" w:pos="13800"/>
        </w:tabs>
        <w:spacing w:line="240" w:lineRule="exact"/>
        <w:ind w:left="91" w:firstLine="315" w:firstLineChars="150"/>
        <w:jc w:val="left"/>
        <w:rPr>
          <w:rFonts w:hint="eastAsia" w:ascii="宋体" w:hAnsi="宋体" w:eastAsia="宋体" w:cs="宋体"/>
          <w:color w:val="000000"/>
          <w:kern w:val="0"/>
          <w:szCs w:val="21"/>
        </w:rPr>
      </w:pPr>
      <w:r>
        <w:rPr>
          <w:rFonts w:hint="eastAsia" w:ascii="宋体" w:hAnsi="宋体" w:eastAsia="宋体" w:cs="宋体"/>
          <w:color w:val="000000"/>
          <w:kern w:val="0"/>
          <w:szCs w:val="21"/>
        </w:rPr>
        <w:tab/>
      </w:r>
      <w:r>
        <w:rPr>
          <w:rFonts w:hint="eastAsia" w:ascii="宋体" w:hAnsi="宋体" w:eastAsia="宋体" w:cs="宋体"/>
          <w:color w:val="000000"/>
          <w:kern w:val="0"/>
          <w:szCs w:val="21"/>
        </w:rPr>
        <w:t>单位：万元</w:t>
      </w:r>
    </w:p>
    <w:tbl>
      <w:tblPr>
        <w:tblStyle w:val="7"/>
        <w:tblW w:w="14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56"/>
        <w:gridCol w:w="589"/>
        <w:gridCol w:w="2686"/>
        <w:gridCol w:w="3406"/>
        <w:gridCol w:w="657"/>
        <w:gridCol w:w="1396"/>
        <w:gridCol w:w="171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931"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0" w:name="RANGE!A1:F16"/>
            <w:r>
              <w:rPr>
                <w:rFonts w:hint="eastAsia" w:ascii="宋体" w:hAnsi="宋体" w:eastAsia="宋体" w:cs="宋体"/>
                <w:i w:val="0"/>
                <w:color w:val="000000"/>
                <w:kern w:val="0"/>
                <w:sz w:val="22"/>
                <w:szCs w:val="22"/>
                <w:u w:val="none"/>
                <w:lang w:val="en-US" w:eastAsia="zh-CN" w:bidi="ar"/>
              </w:rPr>
              <w:t>收     入</w:t>
            </w:r>
          </w:p>
        </w:tc>
        <w:tc>
          <w:tcPr>
            <w:tcW w:w="9014" w:type="dxa"/>
            <w:gridSpan w:val="5"/>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56"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8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68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0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5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9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1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84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656"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8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40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5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1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4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89"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57"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4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9,377.92</w:t>
            </w: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1,880.62</w:t>
            </w: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2,580.10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2,580.10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5,880.49</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3,999.87</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165.03</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165.03</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4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9,377.92</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6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6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0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4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6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0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4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68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4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5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6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34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11,258.54</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9,377.92</w:t>
            </w:r>
          </w:p>
        </w:tc>
        <w:tc>
          <w:tcPr>
            <w:tcW w:w="184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945"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ind w:left="14070" w:hanging="14070" w:hangingChars="6700"/>
        <w:jc w:val="left"/>
        <w:rPr>
          <w:rFonts w:hint="eastAsia" w:ascii="宋体" w:hAnsi="宋体" w:eastAsia="宋体" w:cs="宋体"/>
          <w:color w:val="000000"/>
          <w:kern w:val="0"/>
          <w:sz w:val="21"/>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1"/>
          <w:szCs w:val="21"/>
        </w:rPr>
        <w:t xml:space="preserve">    部门：湖南省洞口县住房和城乡建设局机关                                                                                                                  公开05表</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bl>
      <w:tblPr>
        <w:tblStyle w:val="7"/>
        <w:tblpPr w:leftFromText="180" w:rightFromText="180" w:vertAnchor="text" w:horzAnchor="page" w:tblpX="913" w:tblpY="295"/>
        <w:tblOverlap w:val="never"/>
        <w:tblW w:w="14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4"/>
        <w:gridCol w:w="4030"/>
        <w:gridCol w:w="2682"/>
        <w:gridCol w:w="3018"/>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294"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382"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64"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03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68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01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68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64"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03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1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64"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03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1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94"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68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1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8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94"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9,377.92</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1,766.20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人民防空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其他国防支出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其他国防支出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2,580.10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水体</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433.76</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66.24</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553.24</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66.24</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3,999.87</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1,016.10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449.18</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307.64</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265.49</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265.49</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2120105</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工程建设标准规范编制与监管</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41.54</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2120106</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工程建设管理</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住宅建设与房地产市场监管</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41.62</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3,451.21</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612.60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2,981.21</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342.60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57.86</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57.86</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2129901</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57.86</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57.86</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165.03</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21304</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南水北调</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2130409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环境、移民及水资源管理与保护</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1,577.85</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棚户区改造</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274.85</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城乡社区住宅</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2210399</w:t>
            </w:r>
          </w:p>
        </w:tc>
        <w:tc>
          <w:tcPr>
            <w:tcW w:w="40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其他城乡社区住宅支出</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c>
          <w:tcPr>
            <w:tcW w:w="301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8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67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r>
        <w:rPr>
          <w:rFonts w:ascii="Times New Roman" w:hAnsi="Times New Roman" w:eastAsia="方正小标宋_GBK" w:cs="Times New Roman"/>
          <w:color w:val="000000"/>
          <w:kern w:val="0"/>
          <w:sz w:val="28"/>
          <w:szCs w:val="36"/>
        </w:rPr>
        <w:t>一般公共预算财政拨款基本支出决算表</w:t>
      </w:r>
      <w:bookmarkEnd w:id="1"/>
    </w:p>
    <w:p>
      <w:pPr>
        <w:widowControl/>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部门：湖南省洞口县住房和城乡建设局机关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公开06表</w:t>
      </w:r>
      <w:r>
        <w:rPr>
          <w:rFonts w:hint="eastAsia" w:ascii="宋体" w:hAnsi="宋体" w:eastAsia="宋体" w:cs="宋体"/>
          <w:color w:val="000000"/>
          <w:kern w:val="0"/>
          <w:sz w:val="21"/>
          <w:szCs w:val="21"/>
        </w:rPr>
        <w:t xml:space="preserve">                                           </w:t>
      </w:r>
    </w:p>
    <w:p>
      <w:pPr>
        <w:widowControl/>
        <w:spacing w:line="400" w:lineRule="exact"/>
        <w:ind w:firstLine="13860" w:firstLineChars="66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单位：万元</w:t>
      </w:r>
    </w:p>
    <w:p>
      <w:pPr>
        <w:widowControl/>
        <w:jc w:val="left"/>
        <w:rPr>
          <w:rFonts w:hint="eastAsia" w:ascii="宋体" w:hAnsi="宋体" w:eastAsia="宋体" w:cs="宋体"/>
          <w:color w:val="000000"/>
          <w:kern w:val="0"/>
          <w:sz w:val="21"/>
          <w:szCs w:val="21"/>
        </w:rPr>
      </w:pPr>
    </w:p>
    <w:tbl>
      <w:tblPr>
        <w:tblStyle w:val="7"/>
        <w:tblW w:w="15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5"/>
        <w:gridCol w:w="3526"/>
        <w:gridCol w:w="915"/>
        <w:gridCol w:w="394"/>
        <w:gridCol w:w="341"/>
        <w:gridCol w:w="469"/>
        <w:gridCol w:w="2037"/>
        <w:gridCol w:w="318"/>
        <w:gridCol w:w="822"/>
        <w:gridCol w:w="318"/>
        <w:gridCol w:w="417"/>
        <w:gridCol w:w="333"/>
        <w:gridCol w:w="3088"/>
        <w:gridCol w:w="17"/>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57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615" w:type="dxa"/>
            <w:gridSpan w:val="11"/>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52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09"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1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355"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5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105"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5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52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09"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1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55"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4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05"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5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215.82</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1,454.47</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115.85</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15.49</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30.52</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1,140.56</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23.54</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35.82</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23.54</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10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138.91</w:t>
            </w:r>
          </w:p>
        </w:tc>
        <w:tc>
          <w:tcPr>
            <w:tcW w:w="750"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105"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45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5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30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105"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45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5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30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1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5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1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750"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105"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45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261"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30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239.36</w:t>
            </w:r>
          </w:p>
        </w:tc>
        <w:tc>
          <w:tcPr>
            <w:tcW w:w="8160" w:type="dxa"/>
            <w:gridSpan w:val="10"/>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4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185" w:type="dxa"/>
            <w:gridSpan w:val="1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35" w:type="dxa"/>
            <w:shd w:val="clear" w:color="auto" w:fill="auto"/>
            <w:vAlign w:val="bottom"/>
          </w:tcPr>
          <w:p>
            <w:pPr>
              <w:rPr>
                <w:rFonts w:hint="eastAsia" w:ascii="Arial" w:hAnsi="Arial" w:cs="Arial"/>
                <w:i w:val="0"/>
                <w:color w:val="000000"/>
                <w:sz w:val="20"/>
                <w:szCs w:val="20"/>
                <w:u w:val="none"/>
              </w:rPr>
            </w:pPr>
          </w:p>
        </w:tc>
        <w:tc>
          <w:tcPr>
            <w:tcW w:w="3526" w:type="dxa"/>
            <w:shd w:val="clear" w:color="auto" w:fill="auto"/>
            <w:vAlign w:val="bottom"/>
          </w:tcPr>
          <w:p>
            <w:pPr>
              <w:rPr>
                <w:rFonts w:hint="default" w:ascii="Arial" w:hAnsi="Arial" w:cs="Arial"/>
                <w:i w:val="0"/>
                <w:color w:val="000000"/>
                <w:sz w:val="20"/>
                <w:szCs w:val="20"/>
                <w:u w:val="none"/>
              </w:rPr>
            </w:pPr>
          </w:p>
        </w:tc>
        <w:tc>
          <w:tcPr>
            <w:tcW w:w="915" w:type="dxa"/>
            <w:shd w:val="clear" w:color="auto" w:fill="auto"/>
            <w:vAlign w:val="bottom"/>
          </w:tcPr>
          <w:p>
            <w:pPr>
              <w:rPr>
                <w:rFonts w:hint="default" w:ascii="Arial" w:hAnsi="Arial" w:cs="Arial"/>
                <w:i w:val="0"/>
                <w:color w:val="000000"/>
                <w:sz w:val="20"/>
                <w:szCs w:val="20"/>
                <w:u w:val="none"/>
              </w:rPr>
            </w:pPr>
          </w:p>
        </w:tc>
        <w:tc>
          <w:tcPr>
            <w:tcW w:w="735" w:type="dxa"/>
            <w:gridSpan w:val="2"/>
            <w:shd w:val="clear" w:color="auto" w:fill="auto"/>
            <w:vAlign w:val="bottom"/>
          </w:tcPr>
          <w:p>
            <w:pPr>
              <w:rPr>
                <w:rFonts w:hint="default" w:ascii="Arial" w:hAnsi="Arial" w:cs="Arial"/>
                <w:i w:val="0"/>
                <w:color w:val="000000"/>
                <w:sz w:val="20"/>
                <w:szCs w:val="20"/>
                <w:u w:val="none"/>
              </w:rPr>
            </w:pPr>
          </w:p>
        </w:tc>
        <w:tc>
          <w:tcPr>
            <w:tcW w:w="2506" w:type="dxa"/>
            <w:gridSpan w:val="2"/>
            <w:shd w:val="clear" w:color="auto" w:fill="auto"/>
            <w:vAlign w:val="bottom"/>
          </w:tcPr>
          <w:p>
            <w:pPr>
              <w:rPr>
                <w:rFonts w:hint="default" w:ascii="Arial" w:hAnsi="Arial" w:cs="Arial"/>
                <w:i w:val="0"/>
                <w:color w:val="000000"/>
                <w:sz w:val="20"/>
                <w:szCs w:val="20"/>
                <w:u w:val="none"/>
              </w:rPr>
            </w:pPr>
          </w:p>
        </w:tc>
        <w:tc>
          <w:tcPr>
            <w:tcW w:w="1140" w:type="dxa"/>
            <w:gridSpan w:val="2"/>
            <w:shd w:val="clear" w:color="auto" w:fill="auto"/>
            <w:vAlign w:val="bottom"/>
          </w:tcPr>
          <w:p>
            <w:pPr>
              <w:rPr>
                <w:rFonts w:hint="default" w:ascii="Arial" w:hAnsi="Arial" w:cs="Arial"/>
                <w:i w:val="0"/>
                <w:color w:val="000000"/>
                <w:sz w:val="20"/>
                <w:szCs w:val="20"/>
                <w:u w:val="none"/>
              </w:rPr>
            </w:pPr>
          </w:p>
        </w:tc>
        <w:tc>
          <w:tcPr>
            <w:tcW w:w="735" w:type="dxa"/>
            <w:gridSpan w:val="2"/>
            <w:shd w:val="clear" w:color="auto" w:fill="auto"/>
            <w:vAlign w:val="bottom"/>
          </w:tcPr>
          <w:p>
            <w:pPr>
              <w:rPr>
                <w:rFonts w:hint="default" w:ascii="Arial" w:hAnsi="Arial" w:cs="Arial"/>
                <w:i w:val="0"/>
                <w:color w:val="000000"/>
                <w:sz w:val="20"/>
                <w:szCs w:val="20"/>
                <w:u w:val="none"/>
              </w:rPr>
            </w:pPr>
          </w:p>
        </w:tc>
        <w:tc>
          <w:tcPr>
            <w:tcW w:w="3421" w:type="dxa"/>
            <w:gridSpan w:val="2"/>
            <w:shd w:val="clear" w:color="auto" w:fill="auto"/>
            <w:vAlign w:val="bottom"/>
          </w:tcPr>
          <w:p>
            <w:pPr>
              <w:rPr>
                <w:rFonts w:hint="default" w:ascii="Arial" w:hAnsi="Arial" w:cs="Arial"/>
                <w:i w:val="0"/>
                <w:color w:val="000000"/>
                <w:sz w:val="20"/>
                <w:szCs w:val="20"/>
                <w:u w:val="none"/>
              </w:rPr>
            </w:pPr>
          </w:p>
        </w:tc>
        <w:tc>
          <w:tcPr>
            <w:tcW w:w="1472" w:type="dxa"/>
            <w:gridSpan w:val="2"/>
            <w:shd w:val="clear" w:color="auto" w:fill="auto"/>
            <w:vAlign w:val="bottom"/>
          </w:tcPr>
          <w:p>
            <w:pPr>
              <w:rPr>
                <w:rFonts w:hint="default" w:ascii="Arial" w:hAnsi="Arial" w:cs="Arial"/>
                <w:i w:val="0"/>
                <w:color w:val="000000"/>
                <w:sz w:val="20"/>
                <w:szCs w:val="20"/>
                <w:u w:val="none"/>
              </w:rPr>
            </w:pPr>
          </w:p>
        </w:tc>
      </w:tr>
    </w:tbl>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leftChars="100" w:hanging="13860" w:hangingChars="66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部门：</w:t>
      </w:r>
      <w:r>
        <w:rPr>
          <w:rFonts w:hint="eastAsia" w:ascii="宋体" w:hAnsi="宋体" w:eastAsia="宋体" w:cs="宋体"/>
          <w:color w:val="000000"/>
          <w:kern w:val="0"/>
          <w:sz w:val="21"/>
          <w:szCs w:val="21"/>
        </w:rPr>
        <w:t xml:space="preserve">湖南省洞口县住房和城乡建设局机关                                                                                       </w:t>
      </w:r>
    </w:p>
    <w:p>
      <w:pPr>
        <w:widowControl/>
        <w:ind w:left="14070" w:leftChars="100" w:hanging="13860" w:hangingChars="66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表</w:t>
      </w:r>
    </w:p>
    <w:p>
      <w:pPr>
        <w:widowControl/>
        <w:ind w:right="42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p>
      <w:pPr>
        <w:widowControl/>
        <w:ind w:right="420"/>
        <w:jc w:val="center"/>
        <w:rPr>
          <w:rFonts w:ascii="Times New Roman" w:hAnsi="Times New Roman" w:eastAsia="仿宋_GB2312" w:cs="Times New Roman"/>
          <w:color w:val="000000"/>
          <w:kern w:val="0"/>
          <w:szCs w:val="21"/>
        </w:rPr>
      </w:pPr>
    </w:p>
    <w:tbl>
      <w:tblPr>
        <w:tblStyle w:val="7"/>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top"/>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8</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8</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5.69</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top"/>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5.69</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ind w:left="14070" w:leftChars="100" w:hanging="13860" w:hangingChars="66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部门</w:t>
      </w:r>
      <w:r>
        <w:rPr>
          <w:rFonts w:hint="eastAsia" w:ascii="宋体" w:hAnsi="宋体" w:eastAsia="宋体" w:cs="宋体"/>
          <w:color w:val="000000"/>
          <w:kern w:val="0"/>
          <w:sz w:val="21"/>
          <w:szCs w:val="21"/>
        </w:rPr>
        <w:t>：湖南省洞口县住房和城乡建设局机关                                                                                                                      公开0</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表</w:t>
      </w:r>
    </w:p>
    <w:p>
      <w:pPr>
        <w:widowControl/>
        <w:ind w:right="42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p>
      <w:pPr>
        <w:widowControl/>
        <w:jc w:val="right"/>
        <w:rPr>
          <w:rFonts w:ascii="Times New Roman" w:hAnsi="Times New Roman" w:eastAsia="仿宋_GB2312" w:cs="Times New Roman"/>
          <w:color w:val="000000"/>
          <w:kern w:val="0"/>
          <w:szCs w:val="21"/>
        </w:rPr>
      </w:pPr>
    </w:p>
    <w:p>
      <w:pPr>
        <w:widowControl/>
        <w:jc w:val="right"/>
        <w:rPr>
          <w:rFonts w:ascii="Times New Roman" w:hAnsi="Times New Roman" w:eastAsia="仿宋_GB2312" w:cs="Times New Roman"/>
          <w:color w:val="000000"/>
          <w:kern w:val="0"/>
          <w:szCs w:val="21"/>
        </w:rPr>
      </w:pPr>
    </w:p>
    <w:tbl>
      <w:tblPr>
        <w:tblStyle w:val="7"/>
        <w:tblW w:w="15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5"/>
        <w:gridCol w:w="4481"/>
        <w:gridCol w:w="1744"/>
        <w:gridCol w:w="1462"/>
        <w:gridCol w:w="1293"/>
        <w:gridCol w:w="1519"/>
        <w:gridCol w:w="1331"/>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356"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4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46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143"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50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75"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48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4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6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1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5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75"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48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4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6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1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75"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48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4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6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1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35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1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35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1,880.62</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1,880.62</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426.72</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1,453.90</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48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1,880.62</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1,880.62</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426.72</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1,453.90</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448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426.72</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426.72</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426.72</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448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426.72</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426.72</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426.72</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448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448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其他污水处理费安排的支出</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383.67</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21216</w:t>
            </w:r>
          </w:p>
        </w:tc>
        <w:tc>
          <w:tcPr>
            <w:tcW w:w="448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棚户区改造专项债券收入安排的支出</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2121699</w:t>
            </w:r>
          </w:p>
        </w:tc>
        <w:tc>
          <w:tcPr>
            <w:tcW w:w="448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其他棚户区改造专项债券收入安排的支出</w:t>
            </w:r>
          </w:p>
        </w:tc>
        <w:tc>
          <w:tcPr>
            <w:tcW w:w="17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29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51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1,070.23</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48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3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48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3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48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3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205"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jc w:val="right"/>
        <w:rPr>
          <w:rFonts w:ascii="Times New Roman" w:hAnsi="Times New Roman" w:eastAsia="仿宋_GB2312" w:cs="Times New Roman"/>
          <w:color w:val="000000"/>
          <w:kern w:val="0"/>
          <w:szCs w:val="21"/>
        </w:rPr>
      </w:pPr>
    </w:p>
    <w:p>
      <w:pPr>
        <w:widowControl/>
        <w:jc w:val="right"/>
        <w:rPr>
          <w:rFonts w:ascii="Times New Roman" w:hAnsi="Times New Roman" w:eastAsia="仿宋_GB2312" w:cs="Times New Roman"/>
          <w:color w:val="000000"/>
          <w:kern w:val="0"/>
          <w:szCs w:val="21"/>
        </w:rPr>
      </w:pPr>
    </w:p>
    <w:p>
      <w:pPr>
        <w:widowControl/>
        <w:jc w:val="right"/>
        <w:rPr>
          <w:rFonts w:ascii="Times New Roman" w:hAnsi="Times New Roman" w:eastAsia="仿宋_GB2312" w:cs="Times New Roman"/>
          <w:color w:val="000000"/>
          <w:kern w:val="0"/>
          <w:szCs w:val="21"/>
        </w:rPr>
      </w:pPr>
    </w:p>
    <w:p>
      <w:pPr>
        <w:widowControl/>
        <w:jc w:val="right"/>
        <w:rPr>
          <w:rFonts w:ascii="Times New Roman" w:hAnsi="Times New Roman" w:eastAsia="仿宋_GB2312" w:cs="Times New Roman"/>
          <w:color w:val="000000"/>
          <w:kern w:val="0"/>
          <w:szCs w:val="21"/>
        </w:rPr>
      </w:pP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r>
        <w:rPr>
          <w:rFonts w:hint="eastAsia"/>
          <w:sz w:val="72"/>
          <w:szCs w:val="72"/>
        </w:rPr>
        <w:t>第三部分</w:t>
      </w:r>
    </w:p>
    <w:p>
      <w:pPr>
        <w:pStyle w:val="10"/>
        <w:jc w:val="center"/>
        <w:rPr>
          <w:rFonts w:hint="eastAsia"/>
          <w:sz w:val="72"/>
          <w:szCs w:val="72"/>
        </w:rPr>
      </w:pPr>
    </w:p>
    <w:p>
      <w:pPr>
        <w:pStyle w:val="10"/>
        <w:jc w:val="center"/>
        <w:rPr>
          <w:rFonts w:hint="eastAsia"/>
          <w:sz w:val="72"/>
          <w:szCs w:val="72"/>
        </w:rPr>
      </w:pPr>
      <w:r>
        <w:rPr>
          <w:rFonts w:hint="eastAsia"/>
          <w:sz w:val="72"/>
          <w:szCs w:val="72"/>
        </w:rPr>
        <w:t>2019年度部门决算情况说明</w:t>
      </w:r>
    </w:p>
    <w:p>
      <w:pPr>
        <w:pStyle w:val="10"/>
        <w:jc w:val="center"/>
        <w:rPr>
          <w:rFonts w:hint="eastAsia"/>
          <w:sz w:val="72"/>
          <w:szCs w:val="72"/>
        </w:rPr>
      </w:pPr>
      <w:r>
        <w:rPr>
          <w:rFonts w:hint="eastAsia"/>
          <w:sz w:val="72"/>
          <w:szCs w:val="72"/>
        </w:rPr>
        <w:br w:type="page"/>
      </w:r>
    </w:p>
    <w:p>
      <w:pPr>
        <w:rPr>
          <w:rFonts w:hint="eastAsia" w:ascii="宋体" w:hAnsi="宋体" w:eastAsia="宋体" w:cs="宋体"/>
          <w:b/>
          <w:bCs/>
          <w:sz w:val="28"/>
          <w:szCs w:val="28"/>
        </w:rPr>
      </w:pPr>
      <w:r>
        <w:rPr>
          <w:rFonts w:hint="eastAsia" w:ascii="仿宋_GB2312" w:hAnsi="仿宋_GB2312" w:eastAsia="仿宋_GB2312" w:cs="仿宋_GB2312"/>
          <w:b/>
          <w:bCs/>
          <w:sz w:val="28"/>
          <w:szCs w:val="28"/>
        </w:rPr>
        <w:t>一</w:t>
      </w:r>
      <w:r>
        <w:rPr>
          <w:rFonts w:hint="eastAsia" w:ascii="宋体" w:hAnsi="宋体" w:eastAsia="宋体" w:cs="宋体"/>
          <w:b/>
          <w:bCs/>
          <w:sz w:val="28"/>
          <w:szCs w:val="28"/>
        </w:rPr>
        <w:t>、收入支出决算总体情况</w:t>
      </w:r>
      <w:r>
        <w:rPr>
          <w:rFonts w:hint="eastAsia" w:ascii="宋体" w:hAnsi="宋体" w:eastAsia="宋体" w:cs="宋体"/>
          <w:b/>
          <w:bCs/>
          <w:sz w:val="28"/>
          <w:szCs w:val="28"/>
          <w:lang w:eastAsia="zh-CN"/>
        </w:rPr>
        <w:t>说明</w:t>
      </w:r>
    </w:p>
    <w:p>
      <w:pPr>
        <w:rPr>
          <w:rFonts w:hint="eastAsia" w:ascii="宋体" w:hAnsi="宋体" w:eastAsia="宋体" w:cs="宋体"/>
          <w:sz w:val="28"/>
          <w:szCs w:val="28"/>
        </w:rPr>
      </w:pPr>
      <w:r>
        <w:rPr>
          <w:rFonts w:hint="eastAsia" w:ascii="宋体" w:hAnsi="宋体" w:eastAsia="宋体" w:cs="宋体"/>
          <w:sz w:val="28"/>
          <w:szCs w:val="28"/>
        </w:rPr>
        <w:t xml:space="preserve">    本年度总收入</w:t>
      </w:r>
      <w:r>
        <w:rPr>
          <w:rFonts w:hint="eastAsia" w:ascii="宋体" w:hAnsi="宋体" w:eastAsia="宋体" w:cs="宋体"/>
          <w:sz w:val="28"/>
          <w:szCs w:val="28"/>
          <w:lang w:val="en-US" w:eastAsia="zh-CN"/>
        </w:rPr>
        <w:t>11258.54</w:t>
      </w:r>
      <w:r>
        <w:rPr>
          <w:rFonts w:hint="eastAsia" w:ascii="宋体" w:hAnsi="宋体" w:eastAsia="宋体" w:cs="宋体"/>
          <w:sz w:val="28"/>
          <w:szCs w:val="28"/>
        </w:rPr>
        <w:t>万元，其中：一般公共预算财政拨款9377.92万元</w:t>
      </w:r>
      <w:r>
        <w:rPr>
          <w:rFonts w:hint="eastAsia" w:ascii="宋体" w:hAnsi="宋体" w:eastAsia="宋体" w:cs="宋体"/>
          <w:sz w:val="28"/>
          <w:szCs w:val="28"/>
          <w:lang w:eastAsia="zh-CN"/>
        </w:rPr>
        <w:t>（包括</w:t>
      </w:r>
      <w:r>
        <w:rPr>
          <w:rFonts w:hint="eastAsia" w:ascii="宋体" w:hAnsi="宋体" w:eastAsia="宋体" w:cs="宋体"/>
          <w:sz w:val="28"/>
          <w:szCs w:val="28"/>
        </w:rPr>
        <w:t>基础设施配套建设债券资金</w:t>
      </w:r>
      <w:r>
        <w:rPr>
          <w:rFonts w:hint="eastAsia" w:ascii="宋体" w:hAnsi="宋体" w:eastAsia="宋体" w:cs="宋体"/>
          <w:sz w:val="28"/>
          <w:szCs w:val="28"/>
          <w:lang w:val="en-US" w:eastAsia="zh-CN"/>
        </w:rPr>
        <w:t>2850万元）</w:t>
      </w:r>
      <w:r>
        <w:rPr>
          <w:rFonts w:hint="eastAsia" w:ascii="宋体" w:hAnsi="宋体" w:eastAsia="宋体" w:cs="宋体"/>
          <w:sz w:val="28"/>
          <w:szCs w:val="28"/>
        </w:rPr>
        <w:t>；政府性基金预算财政拨款1880.62万元。比上年4996.36万元增加6262.18万元，增比125.33%，主要</w:t>
      </w:r>
      <w:r>
        <w:rPr>
          <w:rFonts w:hint="eastAsia" w:ascii="宋体" w:hAnsi="宋体" w:eastAsia="宋体" w:cs="宋体"/>
          <w:sz w:val="28"/>
          <w:szCs w:val="28"/>
          <w:lang w:eastAsia="zh-CN"/>
        </w:rPr>
        <w:t>是</w:t>
      </w:r>
      <w:r>
        <w:rPr>
          <w:rFonts w:hint="eastAsia" w:ascii="宋体" w:hAnsi="宋体" w:eastAsia="宋体" w:cs="宋体"/>
          <w:sz w:val="28"/>
          <w:szCs w:val="28"/>
        </w:rPr>
        <w:t>增加城乡基础设施配套建设</w:t>
      </w:r>
      <w:r>
        <w:rPr>
          <w:rFonts w:hint="eastAsia" w:ascii="宋体" w:hAnsi="宋体" w:eastAsia="宋体" w:cs="宋体"/>
          <w:sz w:val="28"/>
          <w:szCs w:val="28"/>
          <w:lang w:eastAsia="zh-CN"/>
        </w:rPr>
        <w:t>的专项资金及</w:t>
      </w:r>
      <w:r>
        <w:rPr>
          <w:rFonts w:hint="eastAsia" w:ascii="宋体" w:hAnsi="宋体" w:eastAsia="宋体" w:cs="宋体"/>
          <w:sz w:val="28"/>
          <w:szCs w:val="28"/>
        </w:rPr>
        <w:t>债券资金</w:t>
      </w:r>
      <w:r>
        <w:rPr>
          <w:rFonts w:hint="eastAsia" w:ascii="宋体" w:hAnsi="宋体" w:eastAsia="宋体" w:cs="宋体"/>
          <w:sz w:val="28"/>
          <w:szCs w:val="28"/>
          <w:lang w:eastAsia="zh-CN"/>
        </w:rPr>
        <w:t>和县污水处理厂提标运行经费。</w:t>
      </w:r>
      <w:r>
        <w:rPr>
          <w:rFonts w:hint="eastAsia" w:ascii="宋体" w:hAnsi="宋体" w:eastAsia="宋体" w:cs="宋体"/>
          <w:sz w:val="28"/>
          <w:szCs w:val="28"/>
        </w:rPr>
        <w:t>本年支出决算数11258.54万元，比上年4996.36万元增加6262.18万元，增比125.33%，主要</w:t>
      </w:r>
      <w:r>
        <w:rPr>
          <w:rFonts w:hint="eastAsia" w:ascii="宋体" w:hAnsi="宋体" w:eastAsia="宋体" w:cs="宋体"/>
          <w:sz w:val="28"/>
          <w:szCs w:val="28"/>
          <w:lang w:eastAsia="zh-CN"/>
        </w:rPr>
        <w:t>原因：</w:t>
      </w:r>
      <w:r>
        <w:rPr>
          <w:rFonts w:hint="eastAsia" w:ascii="宋体" w:hAnsi="宋体" w:eastAsia="宋体" w:cs="宋体"/>
          <w:sz w:val="28"/>
          <w:szCs w:val="28"/>
        </w:rPr>
        <w:t>一是增加了</w:t>
      </w:r>
      <w:r>
        <w:rPr>
          <w:rFonts w:hint="eastAsia" w:ascii="宋体" w:hAnsi="宋体" w:eastAsia="宋体" w:cs="宋体"/>
          <w:sz w:val="28"/>
          <w:szCs w:val="28"/>
          <w:lang w:eastAsia="zh-CN"/>
        </w:rPr>
        <w:t>城乡</w:t>
      </w:r>
      <w:r>
        <w:rPr>
          <w:rFonts w:hint="eastAsia" w:ascii="宋体" w:hAnsi="宋体" w:eastAsia="宋体" w:cs="宋体"/>
          <w:sz w:val="28"/>
          <w:szCs w:val="28"/>
        </w:rPr>
        <w:t>基础设施配套建设</w:t>
      </w:r>
      <w:r>
        <w:rPr>
          <w:rFonts w:hint="eastAsia" w:ascii="宋体" w:hAnsi="宋体" w:eastAsia="宋体" w:cs="宋体"/>
          <w:sz w:val="28"/>
          <w:szCs w:val="28"/>
          <w:lang w:eastAsia="zh-CN"/>
        </w:rPr>
        <w:t>的专项资金及</w:t>
      </w:r>
      <w:r>
        <w:rPr>
          <w:rFonts w:hint="eastAsia" w:ascii="宋体" w:hAnsi="宋体" w:eastAsia="宋体" w:cs="宋体"/>
          <w:sz w:val="28"/>
          <w:szCs w:val="28"/>
        </w:rPr>
        <w:t>债券资金</w:t>
      </w:r>
      <w:r>
        <w:rPr>
          <w:rFonts w:hint="eastAsia" w:ascii="宋体" w:hAnsi="宋体" w:eastAsia="宋体" w:cs="宋体"/>
          <w:sz w:val="28"/>
          <w:szCs w:val="28"/>
          <w:lang w:eastAsia="zh-CN"/>
        </w:rPr>
        <w:t>投资，二</w:t>
      </w:r>
      <w:r>
        <w:rPr>
          <w:rFonts w:hint="eastAsia" w:ascii="宋体" w:hAnsi="宋体" w:eastAsia="宋体" w:cs="宋体"/>
          <w:sz w:val="28"/>
          <w:szCs w:val="28"/>
        </w:rPr>
        <w:t>是</w:t>
      </w:r>
      <w:r>
        <w:rPr>
          <w:rFonts w:hint="eastAsia" w:ascii="宋体" w:hAnsi="宋体" w:eastAsia="宋体" w:cs="宋体"/>
          <w:sz w:val="28"/>
          <w:szCs w:val="28"/>
          <w:lang w:eastAsia="zh-CN"/>
        </w:rPr>
        <w:t>增加县人防办行政运行经费支出，三是增加县污水处理厂提标运行经费支出。</w:t>
      </w:r>
      <w:r>
        <w:rPr>
          <w:rFonts w:hint="eastAsia" w:ascii="宋体" w:hAnsi="宋体" w:eastAsia="宋体" w:cs="宋体"/>
          <w:sz w:val="28"/>
          <w:szCs w:val="28"/>
        </w:rPr>
        <w:t>本年度实现收支平衡。</w:t>
      </w:r>
    </w:p>
    <w:p>
      <w:pPr>
        <w:rPr>
          <w:rFonts w:hint="eastAsia" w:ascii="宋体" w:hAnsi="宋体" w:eastAsia="宋体" w:cs="宋体"/>
          <w:b/>
          <w:bCs/>
          <w:sz w:val="28"/>
          <w:szCs w:val="28"/>
        </w:rPr>
      </w:pPr>
      <w:r>
        <w:rPr>
          <w:rFonts w:hint="eastAsia" w:ascii="宋体" w:hAnsi="宋体" w:eastAsia="宋体" w:cs="宋体"/>
          <w:b/>
          <w:bCs/>
          <w:sz w:val="28"/>
          <w:szCs w:val="28"/>
        </w:rPr>
        <w:t>二、收入决算情况</w:t>
      </w:r>
      <w:r>
        <w:rPr>
          <w:rFonts w:hint="eastAsia" w:ascii="宋体" w:hAnsi="宋体" w:eastAsia="宋体" w:cs="宋体"/>
          <w:b/>
          <w:bCs/>
          <w:sz w:val="28"/>
          <w:szCs w:val="28"/>
          <w:lang w:eastAsia="zh-CN"/>
        </w:rPr>
        <w:t>说明</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本</w:t>
      </w:r>
      <w:r>
        <w:rPr>
          <w:rFonts w:hint="eastAsia" w:ascii="宋体" w:hAnsi="宋体" w:eastAsia="宋体" w:cs="宋体"/>
          <w:sz w:val="28"/>
          <w:szCs w:val="28"/>
        </w:rPr>
        <w:t>年度收入合计</w:t>
      </w:r>
      <w:r>
        <w:rPr>
          <w:rFonts w:hint="eastAsia" w:ascii="宋体" w:hAnsi="宋体" w:eastAsia="宋体" w:cs="宋体"/>
          <w:sz w:val="28"/>
          <w:szCs w:val="28"/>
          <w:lang w:val="en-US" w:eastAsia="zh-CN"/>
        </w:rPr>
        <w:t>11258.54</w:t>
      </w:r>
      <w:r>
        <w:rPr>
          <w:rFonts w:hint="eastAsia" w:ascii="宋体" w:hAnsi="宋体" w:eastAsia="宋体" w:cs="宋体"/>
          <w:sz w:val="28"/>
          <w:szCs w:val="28"/>
        </w:rPr>
        <w:t>万元，其中：一般公共预算财政拨款收入</w:t>
      </w:r>
      <w:r>
        <w:rPr>
          <w:rFonts w:hint="eastAsia" w:ascii="宋体" w:hAnsi="宋体" w:eastAsia="宋体" w:cs="宋体"/>
          <w:sz w:val="28"/>
          <w:szCs w:val="28"/>
          <w:lang w:val="en-US" w:eastAsia="zh-CN"/>
        </w:rPr>
        <w:t>9377.92</w:t>
      </w:r>
      <w:r>
        <w:rPr>
          <w:rFonts w:hint="eastAsia" w:ascii="宋体" w:hAnsi="宋体" w:eastAsia="宋体" w:cs="宋体"/>
          <w:sz w:val="28"/>
          <w:szCs w:val="28"/>
        </w:rPr>
        <w:t>万元（包括</w:t>
      </w:r>
      <w:r>
        <w:rPr>
          <w:rFonts w:hint="eastAsia" w:ascii="宋体" w:hAnsi="宋体" w:eastAsia="宋体" w:cs="宋体"/>
          <w:sz w:val="28"/>
          <w:szCs w:val="28"/>
          <w:lang w:eastAsia="zh-CN"/>
        </w:rPr>
        <w:t>县污水处理厂运行费</w:t>
      </w:r>
      <w:r>
        <w:rPr>
          <w:rFonts w:hint="eastAsia" w:ascii="宋体" w:hAnsi="宋体" w:eastAsia="宋体" w:cs="宋体"/>
          <w:sz w:val="28"/>
          <w:szCs w:val="28"/>
          <w:lang w:val="en-US" w:eastAsia="zh-CN"/>
        </w:rPr>
        <w:t>1876.77</w:t>
      </w:r>
      <w:r>
        <w:rPr>
          <w:rFonts w:hint="eastAsia" w:ascii="宋体" w:hAnsi="宋体" w:eastAsia="宋体" w:cs="宋体"/>
          <w:sz w:val="28"/>
          <w:szCs w:val="28"/>
        </w:rPr>
        <w:t>万元</w:t>
      </w:r>
      <w:r>
        <w:rPr>
          <w:rFonts w:hint="eastAsia" w:ascii="宋体" w:hAnsi="宋体" w:eastAsia="宋体" w:cs="宋体"/>
          <w:sz w:val="28"/>
          <w:szCs w:val="28"/>
          <w:lang w:eastAsia="zh-CN"/>
        </w:rPr>
        <w:t>、债券资金</w:t>
      </w:r>
      <w:r>
        <w:rPr>
          <w:rFonts w:hint="eastAsia" w:ascii="宋体" w:hAnsi="宋体" w:eastAsia="宋体" w:cs="宋体"/>
          <w:sz w:val="28"/>
          <w:szCs w:val="28"/>
          <w:lang w:val="en-US" w:eastAsia="zh-CN"/>
        </w:rPr>
        <w:t>2850万元</w:t>
      </w:r>
      <w:r>
        <w:rPr>
          <w:rFonts w:hint="eastAsia" w:ascii="宋体" w:hAnsi="宋体" w:eastAsia="宋体" w:cs="宋体"/>
          <w:sz w:val="28"/>
          <w:szCs w:val="28"/>
        </w:rPr>
        <w:t>）占本年收入的</w:t>
      </w:r>
      <w:r>
        <w:rPr>
          <w:rFonts w:hint="eastAsia" w:ascii="宋体" w:hAnsi="宋体" w:eastAsia="宋体" w:cs="宋体"/>
          <w:sz w:val="28"/>
          <w:szCs w:val="28"/>
          <w:lang w:val="en-US" w:eastAsia="zh-CN"/>
        </w:rPr>
        <w:t>83.30</w:t>
      </w:r>
      <w:r>
        <w:rPr>
          <w:rFonts w:hint="eastAsia" w:ascii="宋体" w:hAnsi="宋体" w:eastAsia="宋体" w:cs="宋体"/>
          <w:sz w:val="28"/>
          <w:szCs w:val="28"/>
        </w:rPr>
        <w:t>%；政府性基金预算调整财政拨款收入</w:t>
      </w:r>
      <w:r>
        <w:rPr>
          <w:rFonts w:hint="eastAsia" w:ascii="宋体" w:hAnsi="宋体" w:eastAsia="宋体" w:cs="宋体"/>
          <w:sz w:val="28"/>
          <w:szCs w:val="28"/>
          <w:lang w:val="en-US" w:eastAsia="zh-CN"/>
        </w:rPr>
        <w:t>1880.62</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占本年收入的</w:t>
      </w:r>
      <w:r>
        <w:rPr>
          <w:rFonts w:hint="eastAsia" w:ascii="宋体" w:hAnsi="宋体" w:eastAsia="宋体" w:cs="宋体"/>
          <w:sz w:val="28"/>
          <w:szCs w:val="28"/>
          <w:lang w:val="en-US" w:eastAsia="zh-CN"/>
        </w:rPr>
        <w:t>16.70</w:t>
      </w:r>
      <w:r>
        <w:rPr>
          <w:rFonts w:hint="eastAsia" w:ascii="宋体" w:hAnsi="宋体" w:eastAsia="宋体" w:cs="宋体"/>
          <w:sz w:val="28"/>
          <w:szCs w:val="28"/>
        </w:rPr>
        <w:t>%。</w:t>
      </w:r>
    </w:p>
    <w:p>
      <w:pPr>
        <w:rPr>
          <w:rFonts w:hint="eastAsia" w:ascii="宋体" w:hAnsi="宋体" w:eastAsia="宋体" w:cs="宋体"/>
          <w:b/>
          <w:bCs/>
          <w:sz w:val="28"/>
          <w:szCs w:val="28"/>
        </w:rPr>
      </w:pPr>
      <w:r>
        <w:rPr>
          <w:rFonts w:hint="eastAsia" w:ascii="宋体" w:hAnsi="宋体" w:eastAsia="宋体" w:cs="宋体"/>
          <w:b/>
          <w:bCs/>
          <w:sz w:val="28"/>
          <w:szCs w:val="28"/>
        </w:rPr>
        <w:t>三、支出决算情况</w:t>
      </w:r>
      <w:r>
        <w:rPr>
          <w:rFonts w:hint="eastAsia" w:ascii="宋体" w:hAnsi="宋体" w:eastAsia="宋体" w:cs="宋体"/>
          <w:b/>
          <w:bCs/>
          <w:sz w:val="28"/>
          <w:szCs w:val="28"/>
          <w:lang w:eastAsia="zh-CN"/>
        </w:rPr>
        <w:t>说明</w:t>
      </w:r>
    </w:p>
    <w:p>
      <w:pPr>
        <w:rPr>
          <w:rFonts w:hint="eastAsia" w:ascii="宋体" w:hAnsi="宋体" w:eastAsia="宋体" w:cs="宋体"/>
          <w:sz w:val="28"/>
          <w:szCs w:val="28"/>
        </w:rPr>
      </w:pPr>
      <w:r>
        <w:rPr>
          <w:rFonts w:hint="eastAsia" w:ascii="宋体" w:hAnsi="宋体" w:eastAsia="宋体" w:cs="宋体"/>
          <w:sz w:val="28"/>
          <w:szCs w:val="28"/>
        </w:rPr>
        <w:t xml:space="preserve">    本年度支出</w:t>
      </w:r>
      <w:r>
        <w:rPr>
          <w:rFonts w:hint="eastAsia" w:ascii="宋体" w:hAnsi="宋体" w:eastAsia="宋体" w:cs="宋体"/>
          <w:sz w:val="28"/>
          <w:szCs w:val="28"/>
          <w:lang w:val="en-US" w:eastAsia="zh-CN"/>
        </w:rPr>
        <w:t>11258.54</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2192.92</w:t>
      </w:r>
      <w:r>
        <w:rPr>
          <w:rFonts w:hint="eastAsia" w:ascii="宋体" w:hAnsi="宋体" w:eastAsia="宋体" w:cs="宋体"/>
          <w:sz w:val="28"/>
          <w:szCs w:val="28"/>
        </w:rPr>
        <w:t>万元，占比</w:t>
      </w:r>
      <w:r>
        <w:rPr>
          <w:rFonts w:hint="eastAsia" w:ascii="宋体" w:hAnsi="宋体" w:eastAsia="宋体" w:cs="宋体"/>
          <w:sz w:val="28"/>
          <w:szCs w:val="28"/>
          <w:lang w:val="en-US" w:eastAsia="zh-CN"/>
        </w:rPr>
        <w:t>19.48</w:t>
      </w:r>
      <w:r>
        <w:rPr>
          <w:rFonts w:hint="eastAsia" w:ascii="宋体" w:hAnsi="宋体" w:eastAsia="宋体" w:cs="宋体"/>
          <w:sz w:val="28"/>
          <w:szCs w:val="28"/>
        </w:rPr>
        <w:t>%，项目支出</w:t>
      </w:r>
      <w:r>
        <w:rPr>
          <w:rFonts w:hint="eastAsia" w:ascii="宋体" w:hAnsi="宋体" w:eastAsia="宋体" w:cs="宋体"/>
          <w:sz w:val="28"/>
          <w:szCs w:val="28"/>
          <w:lang w:val="en-US" w:eastAsia="zh-CN"/>
        </w:rPr>
        <w:t>9065.62</w:t>
      </w:r>
      <w:r>
        <w:rPr>
          <w:rFonts w:hint="eastAsia" w:ascii="宋体" w:hAnsi="宋体" w:eastAsia="宋体" w:cs="宋体"/>
          <w:sz w:val="28"/>
          <w:szCs w:val="28"/>
        </w:rPr>
        <w:t>万元，占比</w:t>
      </w:r>
      <w:r>
        <w:rPr>
          <w:rFonts w:hint="eastAsia" w:ascii="宋体" w:hAnsi="宋体" w:eastAsia="宋体" w:cs="宋体"/>
          <w:sz w:val="28"/>
          <w:szCs w:val="28"/>
          <w:lang w:val="en-US" w:eastAsia="zh-CN"/>
        </w:rPr>
        <w:t>80.52</w:t>
      </w:r>
      <w:r>
        <w:rPr>
          <w:rFonts w:hint="eastAsia" w:ascii="宋体" w:hAnsi="宋体" w:eastAsia="宋体" w:cs="宋体"/>
          <w:sz w:val="28"/>
          <w:szCs w:val="28"/>
        </w:rPr>
        <w:t>%。</w:t>
      </w:r>
    </w:p>
    <w:p>
      <w:pPr>
        <w:rPr>
          <w:rFonts w:hint="eastAsia" w:ascii="宋体" w:hAnsi="宋体" w:eastAsia="宋体" w:cs="宋体"/>
          <w:b/>
          <w:bCs/>
          <w:sz w:val="28"/>
          <w:szCs w:val="28"/>
        </w:rPr>
      </w:pPr>
      <w:r>
        <w:rPr>
          <w:rFonts w:hint="eastAsia" w:ascii="宋体" w:hAnsi="宋体" w:eastAsia="宋体" w:cs="宋体"/>
          <w:b/>
          <w:bCs/>
          <w:sz w:val="28"/>
          <w:szCs w:val="28"/>
        </w:rPr>
        <w:t>四、 财政拨款收入支出决算总体情况</w:t>
      </w:r>
      <w:r>
        <w:rPr>
          <w:rFonts w:hint="eastAsia" w:ascii="宋体" w:hAnsi="宋体" w:eastAsia="宋体" w:cs="宋体"/>
          <w:b/>
          <w:bCs/>
          <w:sz w:val="28"/>
          <w:szCs w:val="28"/>
          <w:lang w:eastAsia="zh-CN"/>
        </w:rPr>
        <w:t>说明</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本年度财政拨款收、支总计均为</w:t>
      </w:r>
      <w:r>
        <w:rPr>
          <w:rFonts w:hint="eastAsia" w:ascii="宋体" w:hAnsi="宋体" w:eastAsia="宋体" w:cs="宋体"/>
          <w:sz w:val="28"/>
          <w:szCs w:val="28"/>
          <w:lang w:val="en-US" w:eastAsia="zh-CN"/>
        </w:rPr>
        <w:t>11258.54</w:t>
      </w:r>
      <w:r>
        <w:rPr>
          <w:rFonts w:hint="eastAsia" w:ascii="宋体" w:hAnsi="宋体" w:eastAsia="宋体" w:cs="宋体"/>
          <w:sz w:val="28"/>
          <w:szCs w:val="28"/>
        </w:rPr>
        <w:t>万元，比上年增加6262.18万元，增比125.33%，主要原因：一是增加了</w:t>
      </w:r>
      <w:r>
        <w:rPr>
          <w:rFonts w:hint="eastAsia" w:ascii="宋体" w:hAnsi="宋体" w:eastAsia="宋体" w:cs="宋体"/>
          <w:sz w:val="28"/>
          <w:szCs w:val="28"/>
          <w:lang w:eastAsia="zh-CN"/>
        </w:rPr>
        <w:t>城乡</w:t>
      </w:r>
      <w:r>
        <w:rPr>
          <w:rFonts w:hint="eastAsia" w:ascii="宋体" w:hAnsi="宋体" w:eastAsia="宋体" w:cs="宋体"/>
          <w:sz w:val="28"/>
          <w:szCs w:val="28"/>
        </w:rPr>
        <w:t>基础设施配套建设</w:t>
      </w:r>
      <w:r>
        <w:rPr>
          <w:rFonts w:hint="eastAsia" w:ascii="宋体" w:hAnsi="宋体" w:eastAsia="宋体" w:cs="宋体"/>
          <w:sz w:val="28"/>
          <w:szCs w:val="28"/>
          <w:lang w:eastAsia="zh-CN"/>
        </w:rPr>
        <w:t>的专项资金及</w:t>
      </w:r>
      <w:r>
        <w:rPr>
          <w:rFonts w:hint="eastAsia" w:ascii="宋体" w:hAnsi="宋体" w:eastAsia="宋体" w:cs="宋体"/>
          <w:sz w:val="28"/>
          <w:szCs w:val="28"/>
        </w:rPr>
        <w:t>债券资金</w:t>
      </w:r>
      <w:r>
        <w:rPr>
          <w:rFonts w:hint="eastAsia" w:ascii="宋体" w:hAnsi="宋体" w:eastAsia="宋体" w:cs="宋体"/>
          <w:sz w:val="28"/>
          <w:szCs w:val="28"/>
          <w:lang w:eastAsia="zh-CN"/>
        </w:rPr>
        <w:t>投资，二</w:t>
      </w:r>
      <w:r>
        <w:rPr>
          <w:rFonts w:hint="eastAsia" w:ascii="宋体" w:hAnsi="宋体" w:eastAsia="宋体" w:cs="宋体"/>
          <w:sz w:val="28"/>
          <w:szCs w:val="28"/>
        </w:rPr>
        <w:t>是</w:t>
      </w:r>
      <w:r>
        <w:rPr>
          <w:rFonts w:hint="eastAsia" w:ascii="宋体" w:hAnsi="宋体" w:eastAsia="宋体" w:cs="宋体"/>
          <w:sz w:val="28"/>
          <w:szCs w:val="28"/>
          <w:lang w:eastAsia="zh-CN"/>
        </w:rPr>
        <w:t>增加县人防办行政运行经费支出，三是增加县污水处理厂提标运行经费支出。四</w:t>
      </w:r>
      <w:r>
        <w:rPr>
          <w:rFonts w:hint="eastAsia" w:ascii="宋体" w:hAnsi="宋体" w:eastAsia="宋体" w:cs="宋体"/>
          <w:sz w:val="28"/>
          <w:szCs w:val="28"/>
        </w:rPr>
        <w:t>是机关干部职工增资和提高津贴奖励工资以及单位基本养老保险缴费等。本年度财政拨款收入中，一般公共预算财政拨款收入</w:t>
      </w:r>
      <w:r>
        <w:rPr>
          <w:rFonts w:hint="eastAsia" w:ascii="宋体" w:hAnsi="宋体" w:eastAsia="宋体" w:cs="宋体"/>
          <w:sz w:val="28"/>
          <w:szCs w:val="28"/>
          <w:lang w:val="en-US" w:eastAsia="zh-CN"/>
        </w:rPr>
        <w:t>9377.92</w:t>
      </w:r>
      <w:r>
        <w:rPr>
          <w:rFonts w:hint="eastAsia" w:ascii="宋体" w:hAnsi="宋体" w:eastAsia="宋体" w:cs="宋体"/>
          <w:sz w:val="28"/>
          <w:szCs w:val="28"/>
        </w:rPr>
        <w:t>万元，占本年收入的</w:t>
      </w:r>
      <w:r>
        <w:rPr>
          <w:rFonts w:hint="eastAsia" w:ascii="宋体" w:hAnsi="宋体" w:eastAsia="宋体" w:cs="宋体"/>
          <w:sz w:val="28"/>
          <w:szCs w:val="28"/>
          <w:lang w:val="en-US" w:eastAsia="zh-CN"/>
        </w:rPr>
        <w:t>83.30</w:t>
      </w:r>
      <w:r>
        <w:rPr>
          <w:rFonts w:hint="eastAsia" w:ascii="宋体" w:hAnsi="宋体" w:eastAsia="宋体" w:cs="宋体"/>
          <w:sz w:val="28"/>
          <w:szCs w:val="28"/>
        </w:rPr>
        <w:t>%；政府性基金预算调整财政拨款收入</w:t>
      </w:r>
      <w:r>
        <w:rPr>
          <w:rFonts w:hint="eastAsia" w:ascii="宋体" w:hAnsi="宋体" w:eastAsia="宋体" w:cs="宋体"/>
          <w:sz w:val="28"/>
          <w:szCs w:val="28"/>
          <w:lang w:val="en-US" w:eastAsia="zh-CN"/>
        </w:rPr>
        <w:t>1880.62</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占本年收入的</w:t>
      </w:r>
      <w:r>
        <w:rPr>
          <w:rFonts w:hint="eastAsia" w:ascii="宋体" w:hAnsi="宋体" w:eastAsia="宋体" w:cs="宋体"/>
          <w:sz w:val="28"/>
          <w:szCs w:val="28"/>
          <w:lang w:val="en-US" w:eastAsia="zh-CN"/>
        </w:rPr>
        <w:t>16.70</w:t>
      </w:r>
      <w:r>
        <w:rPr>
          <w:rFonts w:hint="eastAsia" w:ascii="宋体" w:hAnsi="宋体" w:eastAsia="宋体" w:cs="宋体"/>
          <w:sz w:val="28"/>
          <w:szCs w:val="28"/>
        </w:rPr>
        <w:t>%。本单位本年度财政拨款支出</w:t>
      </w:r>
      <w:r>
        <w:rPr>
          <w:rFonts w:hint="eastAsia" w:ascii="宋体" w:hAnsi="宋体" w:eastAsia="宋体" w:cs="宋体"/>
          <w:sz w:val="28"/>
          <w:szCs w:val="28"/>
          <w:lang w:val="en-US" w:eastAsia="zh-CN"/>
        </w:rPr>
        <w:t>11258.54</w:t>
      </w:r>
      <w:r>
        <w:rPr>
          <w:rFonts w:hint="eastAsia" w:ascii="宋体" w:hAnsi="宋体" w:eastAsia="宋体" w:cs="宋体"/>
          <w:sz w:val="28"/>
          <w:szCs w:val="28"/>
        </w:rPr>
        <w:t>万元，其中一般公共预算财政拨款支出</w:t>
      </w:r>
      <w:r>
        <w:rPr>
          <w:rFonts w:hint="eastAsia" w:ascii="宋体" w:hAnsi="宋体" w:eastAsia="宋体" w:cs="宋体"/>
          <w:sz w:val="28"/>
          <w:szCs w:val="28"/>
          <w:lang w:val="en-US" w:eastAsia="zh-CN"/>
        </w:rPr>
        <w:t>9377.92</w:t>
      </w:r>
      <w:r>
        <w:rPr>
          <w:rFonts w:hint="eastAsia" w:ascii="宋体" w:hAnsi="宋体" w:eastAsia="宋体" w:cs="宋体"/>
          <w:sz w:val="28"/>
          <w:szCs w:val="28"/>
        </w:rPr>
        <w:t>万元，占比</w:t>
      </w:r>
      <w:r>
        <w:rPr>
          <w:rFonts w:hint="eastAsia" w:ascii="宋体" w:hAnsi="宋体" w:eastAsia="宋体" w:cs="宋体"/>
          <w:sz w:val="28"/>
          <w:szCs w:val="28"/>
          <w:lang w:val="en-US" w:eastAsia="zh-CN"/>
        </w:rPr>
        <w:t>83.30</w:t>
      </w:r>
      <w:r>
        <w:rPr>
          <w:rFonts w:hint="eastAsia" w:ascii="宋体" w:hAnsi="宋体" w:eastAsia="宋体" w:cs="宋体"/>
          <w:sz w:val="28"/>
          <w:szCs w:val="28"/>
        </w:rPr>
        <w:t>%。政府性基金预算调整财政拨款</w:t>
      </w:r>
      <w:r>
        <w:rPr>
          <w:rFonts w:hint="eastAsia" w:ascii="宋体" w:hAnsi="宋体" w:eastAsia="宋体" w:cs="宋体"/>
          <w:sz w:val="28"/>
          <w:szCs w:val="28"/>
          <w:lang w:eastAsia="zh-CN"/>
        </w:rPr>
        <w:t>支出</w:t>
      </w:r>
      <w:r>
        <w:rPr>
          <w:rFonts w:hint="eastAsia" w:ascii="宋体" w:hAnsi="宋体" w:eastAsia="宋体" w:cs="宋体"/>
          <w:sz w:val="28"/>
          <w:szCs w:val="28"/>
          <w:lang w:val="en-US" w:eastAsia="zh-CN"/>
        </w:rPr>
        <w:t>1880.62</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占本年收入的</w:t>
      </w:r>
      <w:r>
        <w:rPr>
          <w:rFonts w:hint="eastAsia" w:ascii="宋体" w:hAnsi="宋体" w:eastAsia="宋体" w:cs="宋体"/>
          <w:sz w:val="28"/>
          <w:szCs w:val="28"/>
          <w:lang w:val="en-US" w:eastAsia="zh-CN"/>
        </w:rPr>
        <w:t>16.70</w:t>
      </w:r>
      <w:r>
        <w:rPr>
          <w:rFonts w:hint="eastAsia" w:ascii="宋体" w:hAnsi="宋体" w:eastAsia="宋体" w:cs="宋体"/>
          <w:sz w:val="28"/>
          <w:szCs w:val="28"/>
        </w:rPr>
        <w:t>%。</w:t>
      </w:r>
    </w:p>
    <w:p>
      <w:pPr>
        <w:rPr>
          <w:rFonts w:hint="eastAsia" w:ascii="宋体" w:hAnsi="宋体" w:eastAsia="宋体" w:cs="宋体"/>
          <w:b/>
          <w:bCs/>
          <w:sz w:val="28"/>
          <w:szCs w:val="28"/>
        </w:rPr>
      </w:pPr>
      <w:r>
        <w:rPr>
          <w:rFonts w:hint="eastAsia" w:ascii="宋体" w:hAnsi="宋体" w:eastAsia="宋体" w:cs="宋体"/>
          <w:b/>
          <w:bCs/>
          <w:sz w:val="28"/>
          <w:szCs w:val="28"/>
        </w:rPr>
        <w:t>五、一般公共预算财政拨款支出决算情况</w:t>
      </w:r>
      <w:r>
        <w:rPr>
          <w:rFonts w:hint="eastAsia" w:ascii="宋体" w:hAnsi="宋体" w:eastAsia="宋体" w:cs="宋体"/>
          <w:b/>
          <w:bCs/>
          <w:sz w:val="28"/>
          <w:szCs w:val="28"/>
          <w:lang w:eastAsia="zh-CN"/>
        </w:rPr>
        <w:t>说明</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财政拨款支出</w:t>
      </w:r>
      <w:r>
        <w:rPr>
          <w:rFonts w:hint="eastAsia" w:ascii="宋体" w:hAnsi="宋体" w:eastAsia="宋体" w:cs="宋体"/>
          <w:sz w:val="28"/>
          <w:szCs w:val="28"/>
          <w:lang w:eastAsia="zh-CN"/>
        </w:rPr>
        <w:t>决算总体情况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2019年度</w:t>
      </w:r>
      <w:r>
        <w:rPr>
          <w:rFonts w:hint="eastAsia" w:ascii="宋体" w:hAnsi="宋体" w:eastAsia="宋体" w:cs="宋体"/>
          <w:sz w:val="28"/>
          <w:szCs w:val="28"/>
        </w:rPr>
        <w:t>财政拨款支出</w:t>
      </w:r>
      <w:r>
        <w:rPr>
          <w:rFonts w:hint="eastAsia" w:ascii="宋体" w:hAnsi="宋体" w:eastAsia="宋体" w:cs="宋体"/>
          <w:sz w:val="28"/>
          <w:szCs w:val="28"/>
          <w:lang w:val="en-US" w:eastAsia="zh-CN"/>
        </w:rPr>
        <w:t>9377.92</w:t>
      </w:r>
      <w:r>
        <w:rPr>
          <w:rFonts w:hint="eastAsia" w:ascii="宋体" w:hAnsi="宋体" w:eastAsia="宋体" w:cs="宋体"/>
          <w:sz w:val="28"/>
          <w:szCs w:val="28"/>
        </w:rPr>
        <w:t>万元，</w:t>
      </w:r>
      <w:r>
        <w:rPr>
          <w:rFonts w:hint="eastAsia" w:ascii="宋体" w:hAnsi="宋体" w:eastAsia="宋体" w:cs="宋体"/>
          <w:sz w:val="28"/>
          <w:szCs w:val="28"/>
          <w:lang w:eastAsia="zh-CN"/>
        </w:rPr>
        <w:t>占本年支出合计的</w:t>
      </w:r>
      <w:r>
        <w:rPr>
          <w:rFonts w:hint="eastAsia" w:ascii="宋体" w:hAnsi="宋体" w:eastAsia="宋体" w:cs="宋体"/>
          <w:sz w:val="28"/>
          <w:szCs w:val="28"/>
          <w:lang w:val="en-US" w:eastAsia="zh-CN"/>
        </w:rPr>
        <w:t>83.30%，</w:t>
      </w:r>
      <w:r>
        <w:rPr>
          <w:rFonts w:hint="eastAsia" w:ascii="宋体" w:hAnsi="宋体" w:eastAsia="宋体" w:cs="宋体"/>
          <w:sz w:val="28"/>
          <w:szCs w:val="28"/>
        </w:rPr>
        <w:t>比上年</w:t>
      </w:r>
      <w:r>
        <w:rPr>
          <w:rFonts w:hint="eastAsia" w:ascii="宋体" w:hAnsi="宋体" w:eastAsia="宋体" w:cs="宋体"/>
          <w:sz w:val="28"/>
          <w:szCs w:val="28"/>
          <w:lang w:val="en-US" w:eastAsia="zh-CN"/>
        </w:rPr>
        <w:t>4850.30</w:t>
      </w:r>
      <w:r>
        <w:rPr>
          <w:rFonts w:hint="eastAsia" w:ascii="宋体" w:hAnsi="宋体" w:eastAsia="宋体" w:cs="宋体"/>
          <w:sz w:val="28"/>
          <w:szCs w:val="28"/>
        </w:rPr>
        <w:t>万元增加</w:t>
      </w:r>
      <w:r>
        <w:rPr>
          <w:rFonts w:hint="eastAsia" w:ascii="宋体" w:hAnsi="宋体" w:eastAsia="宋体" w:cs="宋体"/>
          <w:sz w:val="28"/>
          <w:szCs w:val="28"/>
          <w:lang w:val="en-US" w:eastAsia="zh-CN"/>
        </w:rPr>
        <w:t>4527.62</w:t>
      </w:r>
      <w:r>
        <w:rPr>
          <w:rFonts w:hint="eastAsia" w:ascii="宋体" w:hAnsi="宋体" w:eastAsia="宋体" w:cs="宋体"/>
          <w:sz w:val="28"/>
          <w:szCs w:val="28"/>
        </w:rPr>
        <w:t>万元，同比增长</w:t>
      </w:r>
      <w:r>
        <w:rPr>
          <w:rFonts w:hint="eastAsia" w:ascii="宋体" w:hAnsi="宋体" w:eastAsia="宋体" w:cs="宋体"/>
          <w:sz w:val="28"/>
          <w:szCs w:val="28"/>
          <w:lang w:val="en-US" w:eastAsia="zh-CN"/>
        </w:rPr>
        <w:t>93.35</w:t>
      </w:r>
      <w:r>
        <w:rPr>
          <w:rFonts w:hint="eastAsia" w:ascii="宋体" w:hAnsi="宋体" w:eastAsia="宋体" w:cs="宋体"/>
          <w:sz w:val="28"/>
          <w:szCs w:val="28"/>
        </w:rPr>
        <w:t>%，主要原因是</w:t>
      </w:r>
      <w:r>
        <w:rPr>
          <w:rFonts w:hint="eastAsia" w:ascii="宋体" w:hAnsi="宋体" w:eastAsia="宋体" w:cs="宋体"/>
          <w:sz w:val="28"/>
          <w:szCs w:val="28"/>
          <w:lang w:eastAsia="zh-CN"/>
        </w:rPr>
        <w:t>增加</w:t>
      </w:r>
      <w:r>
        <w:rPr>
          <w:rFonts w:hint="eastAsia" w:ascii="宋体" w:hAnsi="宋体" w:eastAsia="宋体" w:cs="宋体"/>
          <w:sz w:val="28"/>
          <w:szCs w:val="28"/>
        </w:rPr>
        <w:t>城乡基础设施</w:t>
      </w:r>
      <w:r>
        <w:rPr>
          <w:rFonts w:hint="eastAsia" w:ascii="宋体" w:hAnsi="宋体" w:eastAsia="宋体" w:cs="宋体"/>
          <w:sz w:val="28"/>
          <w:szCs w:val="28"/>
          <w:lang w:eastAsia="zh-CN"/>
        </w:rPr>
        <w:t>配套</w:t>
      </w:r>
      <w:r>
        <w:rPr>
          <w:rFonts w:hint="eastAsia" w:ascii="宋体" w:hAnsi="宋体" w:eastAsia="宋体" w:cs="宋体"/>
          <w:sz w:val="28"/>
          <w:szCs w:val="28"/>
        </w:rPr>
        <w:t>建设</w:t>
      </w:r>
      <w:r>
        <w:rPr>
          <w:rFonts w:hint="eastAsia" w:ascii="宋体" w:hAnsi="宋体" w:eastAsia="宋体" w:cs="宋体"/>
          <w:sz w:val="28"/>
          <w:szCs w:val="28"/>
          <w:lang w:eastAsia="zh-CN"/>
        </w:rPr>
        <w:t>的专项资金及债券资金</w:t>
      </w:r>
      <w:r>
        <w:rPr>
          <w:rFonts w:hint="eastAsia" w:ascii="宋体" w:hAnsi="宋体" w:eastAsia="宋体" w:cs="宋体"/>
          <w:sz w:val="28"/>
          <w:szCs w:val="28"/>
        </w:rPr>
        <w:t>项目支出。本年度一般公共预算财政拨款基本支出</w:t>
      </w:r>
      <w:r>
        <w:rPr>
          <w:rFonts w:hint="eastAsia" w:ascii="宋体" w:hAnsi="宋体" w:eastAsia="宋体" w:cs="宋体"/>
          <w:sz w:val="28"/>
          <w:szCs w:val="28"/>
          <w:lang w:val="en-US" w:eastAsia="zh-CN"/>
        </w:rPr>
        <w:t>1766.20</w:t>
      </w:r>
      <w:r>
        <w:rPr>
          <w:rFonts w:hint="eastAsia" w:ascii="宋体" w:hAnsi="宋体" w:eastAsia="宋体" w:cs="宋体"/>
          <w:sz w:val="28"/>
          <w:szCs w:val="28"/>
        </w:rPr>
        <w:t>万元，比上年</w:t>
      </w:r>
      <w:r>
        <w:rPr>
          <w:rFonts w:hint="eastAsia" w:ascii="宋体" w:hAnsi="宋体" w:eastAsia="宋体" w:cs="宋体"/>
          <w:sz w:val="28"/>
          <w:szCs w:val="28"/>
          <w:lang w:val="en-US" w:eastAsia="zh-CN"/>
        </w:rPr>
        <w:t>1315.81</w:t>
      </w:r>
      <w:r>
        <w:rPr>
          <w:rFonts w:hint="eastAsia" w:ascii="宋体" w:hAnsi="宋体" w:eastAsia="宋体" w:cs="宋体"/>
          <w:sz w:val="28"/>
          <w:szCs w:val="28"/>
        </w:rPr>
        <w:t>万元</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450.39</w:t>
      </w:r>
      <w:r>
        <w:rPr>
          <w:rFonts w:hint="eastAsia" w:ascii="宋体" w:hAnsi="宋体" w:eastAsia="宋体" w:cs="宋体"/>
          <w:sz w:val="28"/>
          <w:szCs w:val="28"/>
        </w:rPr>
        <w:t>万元，</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34.23</w:t>
      </w:r>
      <w:r>
        <w:rPr>
          <w:rFonts w:hint="eastAsia" w:ascii="宋体" w:hAnsi="宋体" w:eastAsia="宋体" w:cs="宋体"/>
          <w:sz w:val="28"/>
          <w:szCs w:val="28"/>
        </w:rPr>
        <w:t>%。</w:t>
      </w:r>
      <w:r>
        <w:rPr>
          <w:rFonts w:hint="eastAsia" w:ascii="宋体" w:hAnsi="宋体" w:eastAsia="宋体" w:cs="宋体"/>
          <w:sz w:val="28"/>
          <w:szCs w:val="28"/>
          <w:lang w:eastAsia="zh-CN"/>
        </w:rPr>
        <w:t>原因是增加县人防办并入运行经费及城市维护费支出。</w:t>
      </w:r>
      <w:r>
        <w:rPr>
          <w:rFonts w:hint="eastAsia" w:ascii="宋体" w:hAnsi="宋体" w:eastAsia="宋体" w:cs="宋体"/>
          <w:sz w:val="28"/>
          <w:szCs w:val="28"/>
        </w:rPr>
        <w:t>一般公共预算财政拨款</w:t>
      </w:r>
      <w:r>
        <w:rPr>
          <w:rFonts w:hint="eastAsia" w:ascii="宋体" w:hAnsi="宋体" w:eastAsia="宋体" w:cs="宋体"/>
          <w:sz w:val="28"/>
          <w:szCs w:val="28"/>
          <w:lang w:eastAsia="zh-CN"/>
        </w:rPr>
        <w:t>项目支出</w:t>
      </w:r>
      <w:r>
        <w:rPr>
          <w:rFonts w:hint="eastAsia" w:ascii="宋体" w:hAnsi="宋体" w:eastAsia="宋体" w:cs="宋体"/>
          <w:sz w:val="28"/>
          <w:szCs w:val="28"/>
          <w:lang w:val="en-US" w:eastAsia="zh-CN"/>
        </w:rPr>
        <w:t>7611.72万元，</w:t>
      </w:r>
      <w:r>
        <w:rPr>
          <w:rFonts w:hint="eastAsia" w:ascii="宋体" w:hAnsi="宋体" w:eastAsia="宋体" w:cs="宋体"/>
          <w:sz w:val="28"/>
          <w:szCs w:val="28"/>
        </w:rPr>
        <w:t>比上年</w:t>
      </w:r>
      <w:r>
        <w:rPr>
          <w:rFonts w:hint="eastAsia" w:ascii="宋体" w:hAnsi="宋体" w:eastAsia="宋体" w:cs="宋体"/>
          <w:sz w:val="28"/>
          <w:szCs w:val="28"/>
          <w:lang w:val="en-US" w:eastAsia="zh-CN"/>
        </w:rPr>
        <w:t>3534.49</w:t>
      </w:r>
      <w:r>
        <w:rPr>
          <w:rFonts w:hint="eastAsia" w:ascii="宋体" w:hAnsi="宋体" w:eastAsia="宋体" w:cs="宋体"/>
          <w:sz w:val="28"/>
          <w:szCs w:val="28"/>
        </w:rPr>
        <w:t>万元</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4077.23</w:t>
      </w:r>
      <w:r>
        <w:rPr>
          <w:rFonts w:hint="eastAsia" w:ascii="宋体" w:hAnsi="宋体" w:eastAsia="宋体" w:cs="宋体"/>
          <w:sz w:val="28"/>
          <w:szCs w:val="28"/>
        </w:rPr>
        <w:t>万元，</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115.36</w:t>
      </w:r>
      <w:r>
        <w:rPr>
          <w:rFonts w:hint="eastAsia" w:ascii="宋体" w:hAnsi="宋体" w:eastAsia="宋体" w:cs="宋体"/>
          <w:sz w:val="28"/>
          <w:szCs w:val="28"/>
        </w:rPr>
        <w:t>%。</w:t>
      </w:r>
      <w:r>
        <w:rPr>
          <w:rFonts w:hint="eastAsia" w:ascii="宋体" w:hAnsi="宋体" w:eastAsia="宋体" w:cs="宋体"/>
          <w:sz w:val="28"/>
          <w:szCs w:val="28"/>
          <w:lang w:eastAsia="zh-CN"/>
        </w:rPr>
        <w:t>原因是增加</w:t>
      </w:r>
      <w:r>
        <w:rPr>
          <w:rFonts w:hint="eastAsia" w:ascii="宋体" w:hAnsi="宋体" w:eastAsia="宋体" w:cs="宋体"/>
          <w:sz w:val="28"/>
          <w:szCs w:val="28"/>
        </w:rPr>
        <w:t>城乡基础设施</w:t>
      </w:r>
      <w:r>
        <w:rPr>
          <w:rFonts w:hint="eastAsia" w:ascii="宋体" w:hAnsi="宋体" w:eastAsia="宋体" w:cs="宋体"/>
          <w:sz w:val="28"/>
          <w:szCs w:val="28"/>
          <w:lang w:eastAsia="zh-CN"/>
        </w:rPr>
        <w:t>配套</w:t>
      </w:r>
      <w:r>
        <w:rPr>
          <w:rFonts w:hint="eastAsia" w:ascii="宋体" w:hAnsi="宋体" w:eastAsia="宋体" w:cs="宋体"/>
          <w:sz w:val="28"/>
          <w:szCs w:val="28"/>
        </w:rPr>
        <w:t>建设</w:t>
      </w:r>
      <w:r>
        <w:rPr>
          <w:rFonts w:hint="eastAsia" w:ascii="宋体" w:hAnsi="宋体" w:eastAsia="宋体" w:cs="宋体"/>
          <w:sz w:val="28"/>
          <w:szCs w:val="28"/>
          <w:lang w:eastAsia="zh-CN"/>
        </w:rPr>
        <w:t>的专项资金及债券资金和县污水处理厂提标运行经费的</w:t>
      </w:r>
      <w:r>
        <w:rPr>
          <w:rFonts w:hint="eastAsia" w:ascii="宋体" w:hAnsi="宋体" w:eastAsia="宋体" w:cs="宋体"/>
          <w:sz w:val="28"/>
          <w:szCs w:val="28"/>
        </w:rPr>
        <w:t>项目支出</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财政拨款支出</w:t>
      </w:r>
      <w:r>
        <w:rPr>
          <w:rFonts w:hint="eastAsia" w:ascii="宋体" w:hAnsi="宋体" w:eastAsia="宋体" w:cs="宋体"/>
          <w:sz w:val="28"/>
          <w:szCs w:val="28"/>
          <w:lang w:eastAsia="zh-CN"/>
        </w:rPr>
        <w:t>决算结构情况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2019年度</w:t>
      </w:r>
      <w:r>
        <w:rPr>
          <w:rFonts w:hint="eastAsia" w:ascii="宋体" w:hAnsi="宋体" w:eastAsia="宋体" w:cs="宋体"/>
          <w:sz w:val="28"/>
          <w:szCs w:val="28"/>
        </w:rPr>
        <w:t>财政拨款支出</w:t>
      </w:r>
      <w:r>
        <w:rPr>
          <w:rFonts w:hint="eastAsia" w:ascii="宋体" w:hAnsi="宋体" w:eastAsia="宋体" w:cs="宋体"/>
          <w:sz w:val="28"/>
          <w:szCs w:val="28"/>
          <w:lang w:val="en-US" w:eastAsia="zh-CN"/>
        </w:rPr>
        <w:t>9377.92</w:t>
      </w:r>
      <w:r>
        <w:rPr>
          <w:rFonts w:hint="eastAsia" w:ascii="宋体" w:hAnsi="宋体" w:eastAsia="宋体" w:cs="宋体"/>
          <w:sz w:val="28"/>
          <w:szCs w:val="28"/>
        </w:rPr>
        <w:t>万元，</w:t>
      </w:r>
      <w:r>
        <w:rPr>
          <w:rFonts w:hint="eastAsia" w:ascii="宋体" w:hAnsi="宋体" w:eastAsia="宋体" w:cs="宋体"/>
          <w:sz w:val="28"/>
          <w:szCs w:val="28"/>
          <w:lang w:eastAsia="zh-CN"/>
        </w:rPr>
        <w:t>主要用于以下方面</w:t>
      </w:r>
      <w:r>
        <w:rPr>
          <w:rFonts w:hint="eastAsia" w:ascii="宋体" w:hAnsi="宋体" w:eastAsia="宋体" w:cs="宋体"/>
          <w:sz w:val="28"/>
          <w:szCs w:val="28"/>
        </w:rPr>
        <w:t>：一般公共服务支出</w:t>
      </w:r>
      <w:r>
        <w:rPr>
          <w:rFonts w:hint="eastAsia" w:ascii="宋体" w:hAnsi="宋体" w:eastAsia="宋体" w:cs="宋体"/>
          <w:sz w:val="28"/>
          <w:szCs w:val="28"/>
          <w:lang w:val="en-US" w:eastAsia="zh-CN"/>
        </w:rPr>
        <w:t>35.07</w:t>
      </w:r>
      <w:r>
        <w:rPr>
          <w:rFonts w:hint="eastAsia" w:ascii="宋体" w:hAnsi="宋体" w:eastAsia="宋体" w:cs="宋体"/>
          <w:sz w:val="28"/>
          <w:szCs w:val="28"/>
        </w:rPr>
        <w:t>万元，占比0.</w:t>
      </w:r>
      <w:r>
        <w:rPr>
          <w:rFonts w:hint="eastAsia" w:ascii="宋体" w:hAnsi="宋体" w:eastAsia="宋体" w:cs="宋体"/>
          <w:sz w:val="28"/>
          <w:szCs w:val="28"/>
          <w:lang w:val="en-US" w:eastAsia="zh-CN"/>
        </w:rPr>
        <w:t>37</w:t>
      </w:r>
      <w:r>
        <w:rPr>
          <w:rFonts w:hint="eastAsia" w:ascii="宋体" w:hAnsi="宋体" w:eastAsia="宋体" w:cs="宋体"/>
          <w:sz w:val="28"/>
          <w:szCs w:val="28"/>
        </w:rPr>
        <w:t>%；</w:t>
      </w:r>
      <w:r>
        <w:rPr>
          <w:rFonts w:hint="eastAsia" w:ascii="宋体" w:hAnsi="宋体" w:eastAsia="宋体" w:cs="宋体"/>
          <w:sz w:val="28"/>
          <w:szCs w:val="28"/>
          <w:lang w:eastAsia="zh-CN"/>
        </w:rPr>
        <w:t>国防支出</w:t>
      </w:r>
      <w:r>
        <w:rPr>
          <w:rFonts w:hint="eastAsia" w:ascii="宋体" w:hAnsi="宋体" w:eastAsia="宋体" w:cs="宋体"/>
          <w:sz w:val="28"/>
          <w:szCs w:val="28"/>
          <w:lang w:val="en-US" w:eastAsia="zh-CN"/>
        </w:rPr>
        <w:t>200万元，占比2.13%；</w:t>
      </w:r>
      <w:r>
        <w:rPr>
          <w:rFonts w:hint="eastAsia" w:ascii="宋体" w:hAnsi="宋体" w:eastAsia="宋体" w:cs="宋体"/>
          <w:sz w:val="28"/>
          <w:szCs w:val="28"/>
        </w:rPr>
        <w:t>节能环保支出</w:t>
      </w:r>
      <w:r>
        <w:rPr>
          <w:rFonts w:hint="eastAsia" w:ascii="宋体" w:hAnsi="宋体" w:eastAsia="宋体" w:cs="宋体"/>
          <w:sz w:val="28"/>
          <w:szCs w:val="28"/>
          <w:lang w:val="en-US" w:eastAsia="zh-CN"/>
        </w:rPr>
        <w:t>2580.10</w:t>
      </w:r>
      <w:r>
        <w:rPr>
          <w:rFonts w:hint="eastAsia" w:ascii="宋体" w:hAnsi="宋体" w:eastAsia="宋体" w:cs="宋体"/>
          <w:sz w:val="28"/>
          <w:szCs w:val="28"/>
        </w:rPr>
        <w:t>万元，占比</w:t>
      </w:r>
      <w:r>
        <w:rPr>
          <w:rFonts w:hint="eastAsia" w:ascii="宋体" w:hAnsi="宋体" w:eastAsia="宋体" w:cs="宋体"/>
          <w:sz w:val="28"/>
          <w:szCs w:val="28"/>
          <w:lang w:val="en-US" w:eastAsia="zh-CN"/>
        </w:rPr>
        <w:t>27.51</w:t>
      </w:r>
      <w:r>
        <w:rPr>
          <w:rFonts w:hint="eastAsia" w:ascii="宋体" w:hAnsi="宋体" w:eastAsia="宋体" w:cs="宋体"/>
          <w:sz w:val="28"/>
          <w:szCs w:val="28"/>
        </w:rPr>
        <w:t>%；城乡社区支出</w:t>
      </w:r>
      <w:r>
        <w:rPr>
          <w:rFonts w:hint="eastAsia" w:ascii="宋体" w:hAnsi="宋体" w:eastAsia="宋体" w:cs="宋体"/>
          <w:sz w:val="28"/>
          <w:szCs w:val="28"/>
          <w:lang w:val="en-US" w:eastAsia="zh-CN"/>
        </w:rPr>
        <w:t>3999.87</w:t>
      </w:r>
      <w:r>
        <w:rPr>
          <w:rFonts w:hint="eastAsia" w:ascii="宋体" w:hAnsi="宋体" w:eastAsia="宋体" w:cs="宋体"/>
          <w:sz w:val="28"/>
          <w:szCs w:val="28"/>
        </w:rPr>
        <w:t>万元，占比</w:t>
      </w:r>
      <w:r>
        <w:rPr>
          <w:rFonts w:hint="eastAsia" w:ascii="宋体" w:hAnsi="宋体" w:eastAsia="宋体" w:cs="宋体"/>
          <w:sz w:val="28"/>
          <w:szCs w:val="28"/>
          <w:lang w:val="en-US" w:eastAsia="zh-CN"/>
        </w:rPr>
        <w:t>42.65</w:t>
      </w:r>
      <w:r>
        <w:rPr>
          <w:rFonts w:hint="eastAsia" w:ascii="宋体" w:hAnsi="宋体" w:eastAsia="宋体" w:cs="宋体"/>
          <w:sz w:val="28"/>
          <w:szCs w:val="28"/>
        </w:rPr>
        <w:t>%；农林水支出</w:t>
      </w:r>
      <w:r>
        <w:rPr>
          <w:rFonts w:hint="eastAsia" w:ascii="宋体" w:hAnsi="宋体" w:eastAsia="宋体" w:cs="宋体"/>
          <w:sz w:val="28"/>
          <w:szCs w:val="28"/>
          <w:lang w:val="en-US" w:eastAsia="zh-CN"/>
        </w:rPr>
        <w:t>165.03</w:t>
      </w:r>
      <w:r>
        <w:rPr>
          <w:rFonts w:hint="eastAsia" w:ascii="宋体" w:hAnsi="宋体" w:eastAsia="宋体" w:cs="宋体"/>
          <w:sz w:val="28"/>
          <w:szCs w:val="28"/>
        </w:rPr>
        <w:t>万元，占比</w:t>
      </w:r>
      <w:r>
        <w:rPr>
          <w:rFonts w:hint="eastAsia" w:ascii="宋体" w:hAnsi="宋体" w:eastAsia="宋体" w:cs="宋体"/>
          <w:sz w:val="28"/>
          <w:szCs w:val="28"/>
          <w:lang w:val="en-US" w:eastAsia="zh-CN"/>
        </w:rPr>
        <w:t>1.76</w:t>
      </w:r>
      <w:r>
        <w:rPr>
          <w:rFonts w:hint="eastAsia" w:ascii="宋体" w:hAnsi="宋体" w:eastAsia="宋体" w:cs="宋体"/>
          <w:sz w:val="28"/>
          <w:szCs w:val="28"/>
        </w:rPr>
        <w:t>%；住房保障支出</w:t>
      </w:r>
      <w:r>
        <w:rPr>
          <w:rFonts w:hint="eastAsia" w:ascii="宋体" w:hAnsi="宋体" w:eastAsia="宋体" w:cs="宋体"/>
          <w:sz w:val="28"/>
          <w:szCs w:val="28"/>
          <w:lang w:val="en-US" w:eastAsia="zh-CN"/>
        </w:rPr>
        <w:t>2397.85</w:t>
      </w:r>
      <w:r>
        <w:rPr>
          <w:rFonts w:hint="eastAsia" w:ascii="宋体" w:hAnsi="宋体" w:eastAsia="宋体" w:cs="宋体"/>
          <w:sz w:val="28"/>
          <w:szCs w:val="28"/>
        </w:rPr>
        <w:t>万元，占比</w:t>
      </w:r>
      <w:r>
        <w:rPr>
          <w:rFonts w:hint="eastAsia" w:ascii="宋体" w:hAnsi="宋体" w:eastAsia="宋体" w:cs="宋体"/>
          <w:sz w:val="28"/>
          <w:szCs w:val="28"/>
          <w:lang w:val="en-US" w:eastAsia="zh-CN"/>
        </w:rPr>
        <w:t>25.58</w:t>
      </w:r>
      <w:r>
        <w:rPr>
          <w:rFonts w:hint="eastAsia" w:ascii="宋体" w:hAnsi="宋体" w:eastAsia="宋体" w:cs="宋体"/>
          <w:sz w:val="28"/>
          <w:szCs w:val="28"/>
        </w:rPr>
        <w:t>%.</w:t>
      </w:r>
    </w:p>
    <w:p>
      <w:pPr>
        <w:rPr>
          <w:rFonts w:hint="eastAsia" w:ascii="宋体" w:hAnsi="宋体" w:eastAsia="宋体" w:cs="宋体"/>
          <w:b/>
          <w:bCs/>
          <w:sz w:val="28"/>
          <w:szCs w:val="28"/>
        </w:rPr>
      </w:pPr>
      <w:r>
        <w:rPr>
          <w:rFonts w:hint="eastAsia" w:ascii="宋体" w:hAnsi="宋体" w:eastAsia="宋体" w:cs="宋体"/>
          <w:b/>
          <w:bCs/>
          <w:sz w:val="28"/>
          <w:szCs w:val="28"/>
        </w:rPr>
        <w:t>六、一般公共预算财政拨款基本支出决算情况</w:t>
      </w:r>
      <w:r>
        <w:rPr>
          <w:rFonts w:hint="eastAsia" w:ascii="宋体" w:hAnsi="宋体" w:eastAsia="宋体" w:cs="宋体"/>
          <w:b/>
          <w:bCs/>
          <w:sz w:val="28"/>
          <w:szCs w:val="28"/>
          <w:lang w:eastAsia="zh-CN"/>
        </w:rPr>
        <w:t>说明</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一般公共预算财政拨款基本支出</w:t>
      </w:r>
      <w:r>
        <w:rPr>
          <w:rFonts w:hint="eastAsia" w:ascii="宋体" w:hAnsi="宋体" w:eastAsia="宋体" w:cs="宋体"/>
          <w:sz w:val="28"/>
          <w:szCs w:val="28"/>
          <w:lang w:val="en-US" w:eastAsia="zh-CN"/>
        </w:rPr>
        <w:t>1766.20</w:t>
      </w:r>
      <w:r>
        <w:rPr>
          <w:rFonts w:hint="eastAsia" w:ascii="宋体" w:hAnsi="宋体" w:eastAsia="宋体" w:cs="宋体"/>
          <w:sz w:val="28"/>
          <w:szCs w:val="28"/>
        </w:rPr>
        <w:t>万元，其中：人员经费</w:t>
      </w:r>
      <w:r>
        <w:rPr>
          <w:rFonts w:hint="eastAsia" w:ascii="宋体" w:hAnsi="宋体" w:eastAsia="宋体" w:cs="宋体"/>
          <w:sz w:val="28"/>
          <w:szCs w:val="28"/>
          <w:lang w:val="en-US" w:eastAsia="zh-CN"/>
        </w:rPr>
        <w:t>239.36</w:t>
      </w:r>
      <w:r>
        <w:rPr>
          <w:rFonts w:hint="eastAsia" w:ascii="宋体" w:hAnsi="宋体" w:eastAsia="宋体" w:cs="宋体"/>
          <w:sz w:val="28"/>
          <w:szCs w:val="28"/>
        </w:rPr>
        <w:t>万元，</w:t>
      </w:r>
      <w:r>
        <w:rPr>
          <w:rFonts w:hint="eastAsia" w:ascii="宋体" w:hAnsi="宋体" w:eastAsia="宋体" w:cs="宋体"/>
          <w:sz w:val="28"/>
          <w:szCs w:val="28"/>
          <w:lang w:eastAsia="zh-CN"/>
        </w:rPr>
        <w:t>占基本支出的</w:t>
      </w:r>
      <w:r>
        <w:rPr>
          <w:rFonts w:hint="eastAsia" w:ascii="宋体" w:hAnsi="宋体" w:eastAsia="宋体" w:cs="宋体"/>
          <w:sz w:val="28"/>
          <w:szCs w:val="28"/>
          <w:lang w:val="en-US" w:eastAsia="zh-CN"/>
        </w:rPr>
        <w:t>13.55%，</w:t>
      </w:r>
      <w:r>
        <w:rPr>
          <w:rFonts w:hint="eastAsia" w:ascii="宋体" w:hAnsi="宋体" w:eastAsia="宋体" w:cs="宋体"/>
          <w:sz w:val="28"/>
          <w:szCs w:val="28"/>
        </w:rPr>
        <w:t>主要包括基本工资、津贴补贴、奖金、伙食补助费、绩效工资、机关事业单位基本养老保险缴费、职业年金缴费、职工基本医疗保险缴费、住房公积金、医疗费、其他社会保障缴费、其他工资福利支出、退休费、抚恤金、生活补助、救济费、医疗费补助、奖励金、其他对个人和家庭的补助支出等</w:t>
      </w:r>
      <w:r>
        <w:rPr>
          <w:rFonts w:hint="eastAsia" w:ascii="宋体" w:hAnsi="宋体" w:eastAsia="宋体" w:cs="宋体"/>
          <w:sz w:val="28"/>
          <w:szCs w:val="28"/>
          <w:lang w:eastAsia="zh-CN"/>
        </w:rPr>
        <w:t>；日常</w:t>
      </w:r>
      <w:r>
        <w:rPr>
          <w:rFonts w:hint="eastAsia" w:ascii="宋体" w:hAnsi="宋体" w:eastAsia="宋体" w:cs="宋体"/>
          <w:sz w:val="28"/>
          <w:szCs w:val="28"/>
        </w:rPr>
        <w:t>公用经费</w:t>
      </w:r>
      <w:r>
        <w:rPr>
          <w:rFonts w:hint="eastAsia" w:ascii="宋体" w:hAnsi="宋体" w:eastAsia="宋体" w:cs="宋体"/>
          <w:sz w:val="28"/>
          <w:szCs w:val="28"/>
          <w:lang w:val="en-US" w:eastAsia="zh-CN"/>
        </w:rPr>
        <w:t>1526.84</w:t>
      </w:r>
      <w:r>
        <w:rPr>
          <w:rFonts w:hint="eastAsia" w:ascii="宋体" w:hAnsi="宋体" w:eastAsia="宋体" w:cs="宋体"/>
          <w:sz w:val="28"/>
          <w:szCs w:val="28"/>
        </w:rPr>
        <w:t>万元，</w:t>
      </w:r>
      <w:r>
        <w:rPr>
          <w:rFonts w:hint="eastAsia" w:ascii="宋体" w:hAnsi="宋体" w:eastAsia="宋体" w:cs="宋体"/>
          <w:sz w:val="28"/>
          <w:szCs w:val="28"/>
          <w:lang w:eastAsia="zh-CN"/>
        </w:rPr>
        <w:t>占基本支出的</w:t>
      </w:r>
      <w:r>
        <w:rPr>
          <w:rFonts w:hint="eastAsia" w:ascii="宋体" w:hAnsi="宋体" w:eastAsia="宋体" w:cs="宋体"/>
          <w:sz w:val="28"/>
          <w:szCs w:val="28"/>
          <w:lang w:val="en-US" w:eastAsia="zh-CN"/>
        </w:rPr>
        <w:t>86.45%，</w:t>
      </w:r>
      <w:r>
        <w:rPr>
          <w:rFonts w:hint="eastAsia" w:ascii="宋体" w:hAnsi="宋体" w:eastAsia="宋体" w:cs="宋体"/>
          <w:sz w:val="28"/>
          <w:szCs w:val="28"/>
        </w:rPr>
        <w:t>主要包括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其他资本性支出等。</w:t>
      </w:r>
    </w:p>
    <w:p>
      <w:pPr>
        <w:rPr>
          <w:rFonts w:hint="eastAsia" w:ascii="宋体" w:hAnsi="宋体" w:eastAsia="宋体" w:cs="宋体"/>
          <w:b/>
          <w:bCs/>
          <w:sz w:val="28"/>
          <w:szCs w:val="28"/>
        </w:rPr>
      </w:pPr>
      <w:r>
        <w:rPr>
          <w:rFonts w:hint="eastAsia" w:ascii="宋体" w:hAnsi="宋体" w:eastAsia="宋体" w:cs="宋体"/>
          <w:b/>
          <w:bCs/>
          <w:sz w:val="28"/>
          <w:szCs w:val="28"/>
        </w:rPr>
        <w:t>七、一般公共预算财政拨款“三公”经费支出决算情况</w:t>
      </w:r>
      <w:r>
        <w:rPr>
          <w:rFonts w:hint="eastAsia" w:ascii="宋体" w:hAnsi="宋体" w:eastAsia="宋体" w:cs="宋体"/>
          <w:b/>
          <w:bCs/>
          <w:sz w:val="28"/>
          <w:szCs w:val="28"/>
          <w:lang w:eastAsia="zh-CN"/>
        </w:rPr>
        <w:t>说明</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w:t>
      </w:r>
      <w:r>
        <w:rPr>
          <w:rFonts w:hint="eastAsia" w:ascii="宋体" w:hAnsi="宋体" w:eastAsia="宋体" w:cs="宋体"/>
          <w:sz w:val="28"/>
          <w:szCs w:val="28"/>
        </w:rPr>
        <w:t>“三公”经费</w:t>
      </w:r>
      <w:r>
        <w:rPr>
          <w:rFonts w:hint="eastAsia" w:ascii="宋体" w:hAnsi="宋体" w:eastAsia="宋体" w:cs="宋体"/>
          <w:sz w:val="28"/>
          <w:szCs w:val="28"/>
          <w:lang w:eastAsia="zh-CN"/>
        </w:rPr>
        <w:t>财政拨款支出决算总体情况说明</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“三公”经费</w:t>
      </w:r>
      <w:r>
        <w:rPr>
          <w:rFonts w:hint="eastAsia" w:ascii="宋体" w:hAnsi="宋体" w:eastAsia="宋体" w:cs="宋体"/>
          <w:sz w:val="28"/>
          <w:szCs w:val="28"/>
          <w:lang w:eastAsia="zh-CN"/>
        </w:rPr>
        <w:t>财政拨款支出</w:t>
      </w:r>
      <w:r>
        <w:rPr>
          <w:rFonts w:hint="eastAsia" w:ascii="宋体" w:hAnsi="宋体" w:eastAsia="宋体" w:cs="宋体"/>
          <w:sz w:val="28"/>
          <w:szCs w:val="28"/>
        </w:rPr>
        <w:t>预算为</w:t>
      </w:r>
      <w:r>
        <w:rPr>
          <w:rFonts w:hint="eastAsia" w:ascii="宋体" w:hAnsi="宋体" w:eastAsia="宋体" w:cs="宋体"/>
          <w:sz w:val="28"/>
          <w:szCs w:val="28"/>
          <w:lang w:val="en-US" w:eastAsia="zh-CN"/>
        </w:rPr>
        <w:t>8</w:t>
      </w:r>
      <w:r>
        <w:rPr>
          <w:rFonts w:hint="eastAsia" w:ascii="宋体" w:hAnsi="宋体" w:eastAsia="宋体" w:cs="宋体"/>
          <w:sz w:val="28"/>
          <w:szCs w:val="28"/>
        </w:rPr>
        <w:t>万元，</w:t>
      </w:r>
      <w:r>
        <w:rPr>
          <w:rFonts w:hint="eastAsia" w:ascii="宋体" w:hAnsi="宋体" w:eastAsia="宋体" w:cs="宋体"/>
          <w:sz w:val="28"/>
          <w:szCs w:val="28"/>
          <w:lang w:eastAsia="zh-CN"/>
        </w:rPr>
        <w:t>支出</w:t>
      </w:r>
      <w:r>
        <w:rPr>
          <w:rFonts w:hint="eastAsia" w:ascii="宋体" w:hAnsi="宋体" w:eastAsia="宋体" w:cs="宋体"/>
          <w:sz w:val="28"/>
          <w:szCs w:val="28"/>
        </w:rPr>
        <w:t>决算为</w:t>
      </w:r>
      <w:r>
        <w:rPr>
          <w:rFonts w:hint="eastAsia" w:ascii="宋体" w:hAnsi="宋体" w:eastAsia="宋体" w:cs="宋体"/>
          <w:sz w:val="28"/>
          <w:szCs w:val="28"/>
          <w:lang w:val="en-US" w:eastAsia="zh-CN"/>
        </w:rPr>
        <w:t>5.69</w:t>
      </w:r>
      <w:r>
        <w:rPr>
          <w:rFonts w:hint="eastAsia" w:ascii="宋体" w:hAnsi="宋体" w:eastAsia="宋体" w:cs="宋体"/>
          <w:sz w:val="28"/>
          <w:szCs w:val="28"/>
        </w:rPr>
        <w:t>万元.完成预算的</w:t>
      </w:r>
      <w:r>
        <w:rPr>
          <w:rFonts w:hint="eastAsia" w:ascii="宋体" w:hAnsi="宋体" w:eastAsia="宋体" w:cs="宋体"/>
          <w:sz w:val="28"/>
          <w:szCs w:val="28"/>
          <w:lang w:val="en-US" w:eastAsia="zh-CN"/>
        </w:rPr>
        <w:t>71.12</w:t>
      </w:r>
      <w:r>
        <w:rPr>
          <w:rFonts w:hint="eastAsia" w:ascii="宋体" w:hAnsi="宋体" w:eastAsia="宋体" w:cs="宋体"/>
          <w:sz w:val="28"/>
          <w:szCs w:val="28"/>
        </w:rPr>
        <w:t>%，</w:t>
      </w:r>
      <w:r>
        <w:rPr>
          <w:rFonts w:hint="eastAsia" w:ascii="宋体" w:hAnsi="宋体" w:eastAsia="宋体" w:cs="宋体"/>
          <w:sz w:val="28"/>
          <w:szCs w:val="28"/>
          <w:lang w:eastAsia="zh-CN"/>
        </w:rPr>
        <w:t>其中：</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因公出国（境</w:t>
      </w:r>
      <w:r>
        <w:rPr>
          <w:rFonts w:hint="eastAsia" w:ascii="宋体" w:hAnsi="宋体" w:eastAsia="宋体" w:cs="宋体"/>
          <w:sz w:val="28"/>
          <w:szCs w:val="28"/>
          <w:lang w:eastAsia="zh-CN"/>
        </w:rPr>
        <w:t>）</w:t>
      </w:r>
      <w:r>
        <w:rPr>
          <w:rFonts w:hint="eastAsia" w:ascii="宋体" w:hAnsi="宋体" w:eastAsia="宋体" w:cs="宋体"/>
          <w:sz w:val="28"/>
          <w:szCs w:val="28"/>
        </w:rPr>
        <w:t>费支出</w:t>
      </w:r>
      <w:r>
        <w:rPr>
          <w:rFonts w:hint="eastAsia" w:ascii="宋体" w:hAnsi="宋体" w:eastAsia="宋体" w:cs="宋体"/>
          <w:sz w:val="28"/>
          <w:szCs w:val="28"/>
          <w:lang w:eastAsia="zh-CN"/>
        </w:rPr>
        <w:t>预算为</w:t>
      </w:r>
      <w:r>
        <w:rPr>
          <w:rFonts w:hint="eastAsia" w:ascii="宋体" w:hAnsi="宋体" w:eastAsia="宋体" w:cs="宋体"/>
          <w:sz w:val="28"/>
          <w:szCs w:val="28"/>
        </w:rPr>
        <w:t>0万元，</w:t>
      </w:r>
      <w:r>
        <w:rPr>
          <w:rFonts w:hint="eastAsia" w:ascii="宋体" w:hAnsi="宋体" w:eastAsia="宋体" w:cs="宋体"/>
          <w:sz w:val="28"/>
          <w:szCs w:val="28"/>
          <w:lang w:eastAsia="zh-CN"/>
        </w:rPr>
        <w:t>支出决算为</w:t>
      </w:r>
      <w:r>
        <w:rPr>
          <w:rFonts w:hint="eastAsia" w:ascii="宋体" w:hAnsi="宋体" w:eastAsia="宋体" w:cs="宋体"/>
          <w:sz w:val="28"/>
          <w:szCs w:val="28"/>
          <w:lang w:val="en-US" w:eastAsia="zh-CN"/>
        </w:rPr>
        <w:t>0万元。</w:t>
      </w:r>
    </w:p>
    <w:p>
      <w:pPr>
        <w:pStyle w:val="1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公务接待费支出预算为8万元，支出决算为5.69万元，完成预算的71.12%，决算数小于年初预算数的主要原因是</w:t>
      </w:r>
      <w:r>
        <w:rPr>
          <w:rFonts w:hint="eastAsia" w:ascii="宋体" w:hAnsi="宋体" w:eastAsia="宋体" w:cs="宋体"/>
          <w:sz w:val="28"/>
          <w:szCs w:val="28"/>
        </w:rPr>
        <w:t>接待</w:t>
      </w:r>
      <w:r>
        <w:rPr>
          <w:rFonts w:hint="eastAsia" w:ascii="宋体" w:hAnsi="宋体" w:eastAsia="宋体" w:cs="宋体"/>
          <w:sz w:val="28"/>
          <w:szCs w:val="28"/>
          <w:lang w:eastAsia="zh-CN"/>
        </w:rPr>
        <w:t>标准降低</w:t>
      </w:r>
      <w:r>
        <w:rPr>
          <w:rFonts w:hint="eastAsia" w:ascii="宋体" w:hAnsi="宋体" w:eastAsia="宋体" w:cs="宋体"/>
          <w:kern w:val="2"/>
          <w:sz w:val="28"/>
          <w:szCs w:val="28"/>
          <w:lang w:val="en-US" w:eastAsia="zh-CN" w:bidi="ar-SA"/>
        </w:rPr>
        <w:t>，与上年支出数5.77万元减少0.08万元。</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kern w:val="2"/>
          <w:sz w:val="28"/>
          <w:szCs w:val="28"/>
          <w:lang w:val="en-US" w:eastAsia="zh-CN" w:bidi="ar-SA"/>
        </w:rPr>
        <w:t>公务用车购置费及运行维护费支出预算为0万元，支出决算为0万元，主要原因是实</w:t>
      </w:r>
      <w:r>
        <w:rPr>
          <w:rFonts w:hint="eastAsia" w:ascii="宋体" w:hAnsi="宋体" w:eastAsia="宋体" w:cs="宋体"/>
          <w:spacing w:val="0"/>
          <w:sz w:val="28"/>
          <w:szCs w:val="28"/>
          <w:lang w:val="en-US" w:eastAsia="zh-CN"/>
        </w:rPr>
        <w:t>行车改后我单位无公务车辆。</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 xml:space="preserve">  （二）“三公”经费财政拨款支出决算具体情况说明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2019年度“三公”经费财政拨款支出决算中，公务接待费支出决算5.69万元，占100%,因公出国（境）费支出决算0万元，占0%,公务用车购置费及运行维护费支出决算0万元，占0%。其中：</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1、因公出国（境）费支出决算为0万元，全年安排因公出国（境）团组0个，累计0人次。</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2、公务接待费支出决算为5.69万元，全年共接待来访团组98个、来宾948人次，主要是工作检查发生的接待支出。</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3、公务用车购置费及运行维护费支出决算为0万元，其中：公务用车购置费0万元，公务用车运行维护费0万元，我单位开支财政拨款的公务用车保有量为0辆。</w:t>
      </w:r>
    </w:p>
    <w:p>
      <w:pPr>
        <w:rPr>
          <w:rFonts w:hint="eastAsia" w:ascii="宋体" w:hAnsi="宋体" w:eastAsia="宋体" w:cs="宋体"/>
          <w:b/>
          <w:bCs/>
          <w:sz w:val="28"/>
          <w:szCs w:val="28"/>
          <w:lang w:eastAsia="zh-CN"/>
        </w:rPr>
      </w:pPr>
      <w:r>
        <w:rPr>
          <w:rFonts w:hint="eastAsia" w:ascii="宋体" w:hAnsi="宋体" w:eastAsia="宋体" w:cs="宋体"/>
          <w:b/>
          <w:bCs/>
          <w:sz w:val="28"/>
          <w:szCs w:val="28"/>
        </w:rPr>
        <w:t>八、政府性基金</w:t>
      </w:r>
      <w:r>
        <w:rPr>
          <w:rFonts w:hint="eastAsia" w:ascii="宋体" w:hAnsi="宋体" w:eastAsia="宋体" w:cs="宋体"/>
          <w:b/>
          <w:bCs/>
          <w:sz w:val="28"/>
          <w:szCs w:val="28"/>
          <w:lang w:eastAsia="zh-CN"/>
        </w:rPr>
        <w:t>预算收入支出</w:t>
      </w:r>
      <w:r>
        <w:rPr>
          <w:rFonts w:hint="eastAsia" w:ascii="宋体" w:hAnsi="宋体" w:eastAsia="宋体" w:cs="宋体"/>
          <w:b/>
          <w:bCs/>
          <w:sz w:val="28"/>
          <w:szCs w:val="28"/>
        </w:rPr>
        <w:t>决算情况</w:t>
      </w:r>
      <w:r>
        <w:rPr>
          <w:rFonts w:hint="eastAsia" w:ascii="宋体" w:hAnsi="宋体" w:eastAsia="宋体" w:cs="宋体"/>
          <w:b/>
          <w:bCs/>
          <w:sz w:val="28"/>
          <w:szCs w:val="28"/>
          <w:lang w:eastAsia="zh-CN"/>
        </w:rPr>
        <w:t>说明</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 xml:space="preserve"> 2019年度政府性基金预算财政拨款收入1880.62万元；年初结转和结余0万元；支出1880.62万元，其中基本支出426.72万元，项目支出1453.90万元；年末结转和结余0万元。</w:t>
      </w:r>
    </w:p>
    <w:p>
      <w:pPr>
        <w:rPr>
          <w:rFonts w:hint="eastAsia" w:ascii="宋体" w:hAnsi="宋体" w:eastAsia="宋体" w:cs="宋体"/>
          <w:b/>
          <w:bCs/>
          <w:sz w:val="28"/>
          <w:szCs w:val="28"/>
        </w:rPr>
      </w:pPr>
      <w:r>
        <w:rPr>
          <w:rFonts w:hint="eastAsia" w:ascii="宋体" w:hAnsi="宋体" w:eastAsia="宋体" w:cs="宋体"/>
          <w:b/>
          <w:bCs/>
          <w:sz w:val="28"/>
          <w:szCs w:val="28"/>
        </w:rPr>
        <w:t>九、</w:t>
      </w:r>
      <w:r>
        <w:rPr>
          <w:rFonts w:hint="eastAsia" w:ascii="宋体" w:hAnsi="宋体" w:eastAsia="宋体" w:cs="宋体"/>
          <w:b/>
          <w:bCs/>
          <w:sz w:val="28"/>
          <w:szCs w:val="28"/>
          <w:lang w:eastAsia="zh-CN"/>
        </w:rPr>
        <w:t>关于</w:t>
      </w:r>
      <w:r>
        <w:rPr>
          <w:rFonts w:hint="eastAsia" w:ascii="宋体" w:hAnsi="宋体" w:eastAsia="宋体" w:cs="宋体"/>
          <w:b/>
          <w:bCs/>
          <w:sz w:val="28"/>
          <w:szCs w:val="28"/>
        </w:rPr>
        <w:t>201</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年度预算绩效情况</w:t>
      </w:r>
      <w:r>
        <w:rPr>
          <w:rFonts w:hint="eastAsia" w:ascii="宋体" w:hAnsi="宋体" w:eastAsia="宋体" w:cs="宋体"/>
          <w:b/>
          <w:bCs/>
          <w:sz w:val="28"/>
          <w:szCs w:val="28"/>
          <w:lang w:eastAsia="zh-CN"/>
        </w:rPr>
        <w:t>说明</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1、预算绩效管理开展情况</w:t>
      </w:r>
    </w:p>
    <w:p>
      <w:pPr>
        <w:rPr>
          <w:rFonts w:hint="eastAsia" w:ascii="宋体" w:hAnsi="宋体" w:eastAsia="宋体" w:cs="宋体"/>
          <w:sz w:val="28"/>
          <w:szCs w:val="28"/>
        </w:rPr>
      </w:pPr>
      <w:r>
        <w:rPr>
          <w:rFonts w:hint="eastAsia" w:ascii="宋体" w:hAnsi="宋体" w:eastAsia="宋体" w:cs="宋体"/>
          <w:sz w:val="28"/>
          <w:szCs w:val="28"/>
        </w:rPr>
        <w:t xml:space="preserve">   本单位按要求对201</w:t>
      </w:r>
      <w:r>
        <w:rPr>
          <w:rFonts w:hint="eastAsia" w:ascii="宋体" w:hAnsi="宋体" w:eastAsia="宋体" w:cs="宋体"/>
          <w:sz w:val="28"/>
          <w:szCs w:val="28"/>
          <w:lang w:val="en-US" w:eastAsia="zh-CN"/>
        </w:rPr>
        <w:t>9</w:t>
      </w:r>
      <w:r>
        <w:rPr>
          <w:rFonts w:hint="eastAsia" w:ascii="宋体" w:hAnsi="宋体" w:eastAsia="宋体" w:cs="宋体"/>
          <w:sz w:val="28"/>
          <w:szCs w:val="28"/>
        </w:rPr>
        <w:t>年部门整体支出开展预算绩效管理工作，积极履职，强化管理，较好的完成了年度工作目标。通过加强预算收支管理，不断建立健全内部管理制度，梳理内部管理流程，部门整体支出管理水平得到提升，目标任务全面完成，实现了年初预算绩效目标。我单位将进一步加强财政资金预算绩效管理，更加科学合理编制经费预算，进一步完善财务管理制度及内部控制制度，加强“三公”经费管理，开展了对公用经费使用监督和绩效评估工作，进一步落实了厉行节约的各项规定，确保了“三公经费”管理使用合理合规。规范财务核算，提高财政资金使用效率。</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2、绩效目标和绩效评价情况</w:t>
      </w:r>
    </w:p>
    <w:p>
      <w:pPr>
        <w:ind w:firstLine="560"/>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我局预算执行过程中，严格遵守财务会计制度和各项财政纪律，建立健全单位内部控制规范制度，加强党风廉政建设、严格执行中央八项规定，从严控制经费支出，尤其“三公经费”的支出，规范了会计基础工作，实现了年初所定绩效目标。</w:t>
      </w:r>
      <w:r>
        <w:rPr>
          <w:rFonts w:hint="eastAsia" w:ascii="宋体" w:hAnsi="宋体" w:eastAsia="宋体" w:cs="宋体"/>
          <w:sz w:val="28"/>
          <w:szCs w:val="28"/>
          <w:lang w:eastAsia="zh-CN"/>
        </w:rPr>
        <w:t>本单位</w:t>
      </w:r>
      <w:r>
        <w:rPr>
          <w:rFonts w:hint="eastAsia" w:ascii="宋体" w:hAnsi="宋体" w:eastAsia="宋体" w:cs="宋体"/>
          <w:sz w:val="28"/>
          <w:szCs w:val="28"/>
        </w:rPr>
        <w:t>根据部门整体支出绩效评价指标体系</w:t>
      </w:r>
      <w:r>
        <w:rPr>
          <w:rFonts w:hint="eastAsia" w:ascii="宋体" w:hAnsi="宋体" w:eastAsia="宋体" w:cs="宋体"/>
          <w:sz w:val="28"/>
          <w:szCs w:val="28"/>
          <w:lang w:eastAsia="zh-CN"/>
        </w:rPr>
        <w:t>自身也</w:t>
      </w:r>
      <w:r>
        <w:rPr>
          <w:rFonts w:hint="eastAsia" w:ascii="宋体" w:hAnsi="宋体" w:eastAsia="宋体" w:cs="宋体"/>
          <w:sz w:val="28"/>
          <w:szCs w:val="28"/>
        </w:rPr>
        <w:t>进行了绩效评价</w:t>
      </w:r>
      <w:r>
        <w:rPr>
          <w:rFonts w:hint="eastAsia" w:ascii="宋体" w:hAnsi="宋体" w:eastAsia="宋体" w:cs="宋体"/>
          <w:sz w:val="28"/>
          <w:szCs w:val="28"/>
          <w:lang w:eastAsia="zh-CN"/>
        </w:rPr>
        <w:t>，也被评为</w:t>
      </w:r>
      <w:r>
        <w:rPr>
          <w:rFonts w:hint="eastAsia" w:ascii="宋体" w:hAnsi="宋体" w:eastAsia="宋体" w:cs="宋体"/>
          <w:sz w:val="28"/>
          <w:szCs w:val="28"/>
        </w:rPr>
        <w:t>县重点工作绩效</w:t>
      </w:r>
      <w:r>
        <w:rPr>
          <w:rFonts w:hint="eastAsia" w:ascii="宋体" w:hAnsi="宋体" w:eastAsia="宋体" w:cs="宋体"/>
          <w:sz w:val="28"/>
          <w:szCs w:val="28"/>
          <w:lang w:eastAsia="zh-CN"/>
        </w:rPr>
        <w:t>考核</w:t>
      </w:r>
      <w:r>
        <w:rPr>
          <w:rFonts w:hint="eastAsia" w:ascii="宋体" w:hAnsi="宋体" w:eastAsia="宋体" w:cs="宋体"/>
          <w:sz w:val="28"/>
          <w:szCs w:val="28"/>
        </w:rPr>
        <w:t>一等奖。</w:t>
      </w:r>
    </w:p>
    <w:p>
      <w:pPr>
        <w:rPr>
          <w:rFonts w:hint="eastAsia" w:ascii="宋体" w:hAnsi="宋体" w:eastAsia="宋体" w:cs="宋体"/>
          <w:sz w:val="28"/>
          <w:szCs w:val="28"/>
        </w:rPr>
      </w:pPr>
      <w:r>
        <w:rPr>
          <w:rFonts w:hint="eastAsia" w:ascii="宋体" w:hAnsi="宋体" w:eastAsia="宋体" w:cs="宋体"/>
          <w:b/>
          <w:bCs/>
          <w:sz w:val="28"/>
          <w:szCs w:val="28"/>
        </w:rPr>
        <w:t xml:space="preserve">十、其他重要事项的情况说明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1、行政运行经费情况</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本单位2019年度机关运行经费支出（含城市维护费公用经费）1506.83万元，比年初预算962.95万元（含城市维护费900万元）增加543.88万元，增加56.48%，原因：一是增加城市维护费支出；二是并入县人防办行政运行经费支出；三是增加了城乡基础设施配套建设行政管理支出。</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2、政府采购支出情况</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本部门2019年政府采购支出总额480万元，其中：政府采购货物类支出33.46万元、政府采购工程支出400万元、政府采购服务支出46.54万元，占政府采购支出的9.70%。授予中小企业合同金额0万元，占政府采购支出总额的0%，其中：授予小微企业合同金额0万元，占政府采购支出总额的0%。</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3、国有资产占用情况</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 xml:space="preserve">  上年年末资产总额355.59万元，其中：固定资产182.70万元；流动资产172.89万元。本年年末资产总额 722.37万元，其中：固定资产 461.18万元；流动资产261.19万元。本单位无公务车辆，也无大型通用设备。</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560" w:firstLineChars="200"/>
        <w:jc w:val="both"/>
        <w:textAlignment w:val="auto"/>
        <w:outlineLvl w:val="9"/>
        <w:rPr>
          <w:rFonts w:hint="eastAsia" w:ascii="宋体" w:hAnsi="宋体" w:eastAsia="宋体" w:cs="宋体"/>
          <w:spacing w:val="0"/>
          <w:sz w:val="28"/>
          <w:szCs w:val="28"/>
          <w:lang w:val="en-US" w:eastAsia="zh-CN"/>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sz w:val="72"/>
          <w:szCs w:val="72"/>
        </w:rPr>
      </w:pPr>
    </w:p>
    <w:p>
      <w:pPr>
        <w:pStyle w:val="10"/>
        <w:jc w:val="center"/>
        <w:rPr>
          <w:rFonts w:hint="eastAsia"/>
          <w:sz w:val="72"/>
          <w:szCs w:val="72"/>
        </w:rPr>
      </w:pPr>
      <w:r>
        <w:rPr>
          <w:rFonts w:hint="eastAsia"/>
          <w:sz w:val="72"/>
          <w:szCs w:val="72"/>
        </w:rPr>
        <w:t>第四部分</w:t>
      </w:r>
    </w:p>
    <w:p>
      <w:pPr>
        <w:pStyle w:val="10"/>
        <w:jc w:val="center"/>
        <w:rPr>
          <w:rFonts w:hint="eastAsia"/>
          <w:sz w:val="72"/>
          <w:szCs w:val="72"/>
        </w:rPr>
      </w:pPr>
    </w:p>
    <w:p>
      <w:pPr>
        <w:pStyle w:val="10"/>
        <w:jc w:val="center"/>
        <w:rPr>
          <w:rFonts w:hint="eastAsia"/>
          <w:sz w:val="72"/>
          <w:szCs w:val="72"/>
        </w:rPr>
      </w:pPr>
      <w:r>
        <w:rPr>
          <w:rFonts w:hint="eastAsia"/>
          <w:sz w:val="72"/>
          <w:szCs w:val="72"/>
        </w:rPr>
        <w:t>名词解释</w:t>
      </w:r>
    </w:p>
    <w:p>
      <w:pPr>
        <w:pStyle w:val="10"/>
        <w:jc w:val="center"/>
        <w:rPr>
          <w:rFonts w:hint="eastAsia"/>
          <w:sz w:val="72"/>
          <w:szCs w:val="72"/>
        </w:rPr>
      </w:pPr>
      <w:r>
        <w:rPr>
          <w:rFonts w:hint="eastAsia"/>
          <w:sz w:val="72"/>
          <w:szCs w:val="72"/>
        </w:rPr>
        <w:br w:type="page"/>
      </w:r>
    </w:p>
    <w:p>
      <w:pPr>
        <w:ind w:firstLine="640" w:firstLineChars="200"/>
        <w:jc w:val="left"/>
        <w:rPr>
          <w:rFonts w:hint="eastAsia" w:ascii="宋体" w:hAnsi="宋体" w:eastAsia="宋体" w:cs="宋体"/>
          <w:color w:val="000000"/>
          <w:kern w:val="0"/>
          <w:sz w:val="32"/>
          <w:szCs w:val="32"/>
        </w:rPr>
      </w:pPr>
    </w:p>
    <w:p>
      <w:pPr>
        <w:ind w:firstLine="280" w:firstLineChars="100"/>
        <w:rPr>
          <w:rFonts w:hint="eastAsia" w:ascii="宋体" w:hAnsi="宋体" w:eastAsia="宋体" w:cs="宋体"/>
          <w:sz w:val="28"/>
          <w:szCs w:val="28"/>
        </w:rPr>
      </w:pPr>
    </w:p>
    <w:p>
      <w:pPr>
        <w:ind w:firstLine="280" w:firstLineChars="100"/>
        <w:rPr>
          <w:rFonts w:hint="eastAsia" w:ascii="宋体" w:hAnsi="宋体" w:eastAsia="宋体" w:cs="宋体"/>
          <w:sz w:val="28"/>
          <w:szCs w:val="28"/>
        </w:rPr>
      </w:pPr>
    </w:p>
    <w:p>
      <w:pPr>
        <w:ind w:firstLine="280" w:firstLineChars="100"/>
        <w:rPr>
          <w:rFonts w:hint="eastAsia" w:ascii="宋体" w:hAnsi="宋体" w:eastAsia="宋体" w:cs="宋体"/>
          <w:sz w:val="28"/>
          <w:szCs w:val="28"/>
        </w:rPr>
      </w:pPr>
      <w:r>
        <w:rPr>
          <w:rFonts w:hint="eastAsia" w:ascii="宋体" w:hAnsi="宋体" w:eastAsia="宋体" w:cs="宋体"/>
          <w:sz w:val="28"/>
          <w:szCs w:val="28"/>
        </w:rPr>
        <w:t>1．机关运行经费：是指公用经费，包括办公及印刷费、邮电费、差旅费、会议费、福利费、日常维修费、专用资料及一般设备购置费、办公用房水电费、办公用房取暖费、公务用车运行维护费及其他费用。</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2、“三公”经费：纳入一般公共财政拨款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both"/>
        <w:rPr>
          <w:rFonts w:hint="eastAsia" w:ascii="宋体" w:hAnsi="宋体" w:eastAsia="宋体" w:cs="宋体"/>
          <w:sz w:val="72"/>
          <w:szCs w:val="72"/>
          <w:lang w:eastAsia="zh-CN"/>
        </w:rPr>
      </w:pPr>
    </w:p>
    <w:p>
      <w:pPr>
        <w:pStyle w:val="10"/>
        <w:jc w:val="both"/>
        <w:rPr>
          <w:rFonts w:hint="eastAsia" w:ascii="宋体" w:hAnsi="宋体" w:eastAsia="宋体" w:cs="宋体"/>
          <w:sz w:val="72"/>
          <w:szCs w:val="72"/>
          <w:lang w:eastAsia="zh-CN"/>
        </w:rPr>
      </w:pPr>
    </w:p>
    <w:p>
      <w:pPr>
        <w:pStyle w:val="10"/>
        <w:jc w:val="both"/>
        <w:rPr>
          <w:rFonts w:hint="eastAsia" w:ascii="宋体" w:hAnsi="宋体" w:eastAsia="宋体" w:cs="宋体"/>
          <w:sz w:val="72"/>
          <w:szCs w:val="72"/>
          <w:lang w:eastAsia="zh-CN"/>
        </w:rPr>
      </w:pPr>
    </w:p>
    <w:p>
      <w:pPr>
        <w:pStyle w:val="10"/>
        <w:jc w:val="both"/>
        <w:rPr>
          <w:rFonts w:hint="eastAsia" w:ascii="宋体" w:hAnsi="宋体" w:eastAsia="宋体" w:cs="宋体"/>
          <w:sz w:val="72"/>
          <w:szCs w:val="72"/>
          <w:lang w:eastAsia="zh-CN"/>
        </w:rPr>
      </w:pPr>
    </w:p>
    <w:p>
      <w:pPr>
        <w:pStyle w:val="10"/>
        <w:jc w:val="both"/>
        <w:rPr>
          <w:rFonts w:hint="eastAsia" w:ascii="宋体" w:hAnsi="宋体" w:eastAsia="宋体" w:cs="宋体"/>
          <w:sz w:val="72"/>
          <w:szCs w:val="72"/>
          <w:lang w:eastAsia="zh-CN"/>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ind w:firstLine="420" w:firstLineChars="200"/>
        <w:jc w:val="left"/>
        <w:rPr>
          <w:rFonts w:hint="eastAsia"/>
        </w:rPr>
      </w:pPr>
    </w:p>
    <w:p>
      <w:pPr>
        <w:jc w:val="left"/>
        <w:rPr>
          <w:rFonts w:hint="eastAsia" w:ascii="宋体" w:hAnsi="宋体" w:eastAsia="宋体" w:cs="宋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楷体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Batang">
    <w:panose1 w:val="02030600000101010101"/>
    <w:charset w:val="81"/>
    <w:family w:val="roman"/>
    <w:pitch w:val="default"/>
    <w:sig w:usb0="B00002AF" w:usb1="69D77CFB" w:usb2="00000030" w:usb3="00000000" w:csb0="4008009F" w:csb1="DFD7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84DE7"/>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73337B"/>
    <w:rsid w:val="007C1341"/>
    <w:rsid w:val="00812ED5"/>
    <w:rsid w:val="008277D9"/>
    <w:rsid w:val="008A3E8D"/>
    <w:rsid w:val="009237C4"/>
    <w:rsid w:val="00950252"/>
    <w:rsid w:val="00967F5D"/>
    <w:rsid w:val="009A0F95"/>
    <w:rsid w:val="009B3ADF"/>
    <w:rsid w:val="009C3B52"/>
    <w:rsid w:val="00A42218"/>
    <w:rsid w:val="00A70249"/>
    <w:rsid w:val="00AC7D42"/>
    <w:rsid w:val="00B129D6"/>
    <w:rsid w:val="00B33BEA"/>
    <w:rsid w:val="00B57C9F"/>
    <w:rsid w:val="00B845B3"/>
    <w:rsid w:val="00B85D8B"/>
    <w:rsid w:val="00BE3674"/>
    <w:rsid w:val="00C3049A"/>
    <w:rsid w:val="00C31B1E"/>
    <w:rsid w:val="00C478FB"/>
    <w:rsid w:val="00C77645"/>
    <w:rsid w:val="00CE04C3"/>
    <w:rsid w:val="00CE76A0"/>
    <w:rsid w:val="00D148C6"/>
    <w:rsid w:val="00DD06FF"/>
    <w:rsid w:val="00DD5FE9"/>
    <w:rsid w:val="00E00C7A"/>
    <w:rsid w:val="00E55B68"/>
    <w:rsid w:val="00F74360"/>
    <w:rsid w:val="00FB462F"/>
    <w:rsid w:val="00FE16FA"/>
    <w:rsid w:val="00FE328A"/>
    <w:rsid w:val="014D758C"/>
    <w:rsid w:val="016D79CF"/>
    <w:rsid w:val="01E47824"/>
    <w:rsid w:val="023004A1"/>
    <w:rsid w:val="02822152"/>
    <w:rsid w:val="02C05F68"/>
    <w:rsid w:val="02C55BA8"/>
    <w:rsid w:val="02E43AC8"/>
    <w:rsid w:val="031D1C42"/>
    <w:rsid w:val="03950C14"/>
    <w:rsid w:val="0399627B"/>
    <w:rsid w:val="03D52B60"/>
    <w:rsid w:val="0432634D"/>
    <w:rsid w:val="04685402"/>
    <w:rsid w:val="04C36D69"/>
    <w:rsid w:val="04FD0FC2"/>
    <w:rsid w:val="057870F3"/>
    <w:rsid w:val="05AA3159"/>
    <w:rsid w:val="05C831B3"/>
    <w:rsid w:val="06172EDA"/>
    <w:rsid w:val="0673172C"/>
    <w:rsid w:val="06D27661"/>
    <w:rsid w:val="06FC6782"/>
    <w:rsid w:val="070E6F73"/>
    <w:rsid w:val="07395C04"/>
    <w:rsid w:val="07562FD6"/>
    <w:rsid w:val="07FE58C8"/>
    <w:rsid w:val="0823672C"/>
    <w:rsid w:val="08520F89"/>
    <w:rsid w:val="08A3170C"/>
    <w:rsid w:val="08BC1529"/>
    <w:rsid w:val="08BD1DA5"/>
    <w:rsid w:val="09112292"/>
    <w:rsid w:val="09653C5D"/>
    <w:rsid w:val="0968773E"/>
    <w:rsid w:val="09C701CE"/>
    <w:rsid w:val="09F26213"/>
    <w:rsid w:val="0A2D43F7"/>
    <w:rsid w:val="0A880F4A"/>
    <w:rsid w:val="0ABA1786"/>
    <w:rsid w:val="0AF56A75"/>
    <w:rsid w:val="0B3C3A86"/>
    <w:rsid w:val="0B9C7D57"/>
    <w:rsid w:val="0BCD42DE"/>
    <w:rsid w:val="0BDC7103"/>
    <w:rsid w:val="0CC66A24"/>
    <w:rsid w:val="0CD45C16"/>
    <w:rsid w:val="0CE41BC3"/>
    <w:rsid w:val="0D067241"/>
    <w:rsid w:val="0D5E19E8"/>
    <w:rsid w:val="0D895A15"/>
    <w:rsid w:val="0DAB624B"/>
    <w:rsid w:val="0DE4088D"/>
    <w:rsid w:val="0E360845"/>
    <w:rsid w:val="0E8D6EDA"/>
    <w:rsid w:val="0EC02A25"/>
    <w:rsid w:val="0EF47FB4"/>
    <w:rsid w:val="0F110A7D"/>
    <w:rsid w:val="0F375196"/>
    <w:rsid w:val="0F532A3F"/>
    <w:rsid w:val="0F8A6450"/>
    <w:rsid w:val="0F994575"/>
    <w:rsid w:val="10480A76"/>
    <w:rsid w:val="10507A54"/>
    <w:rsid w:val="108E1ED0"/>
    <w:rsid w:val="10DE2EC2"/>
    <w:rsid w:val="114D06D4"/>
    <w:rsid w:val="11DC277C"/>
    <w:rsid w:val="125C6A74"/>
    <w:rsid w:val="131C0F14"/>
    <w:rsid w:val="135E7035"/>
    <w:rsid w:val="13715238"/>
    <w:rsid w:val="13C7558C"/>
    <w:rsid w:val="13FC55C1"/>
    <w:rsid w:val="149633D8"/>
    <w:rsid w:val="14AA1278"/>
    <w:rsid w:val="1516011E"/>
    <w:rsid w:val="15AD045C"/>
    <w:rsid w:val="15BE02D8"/>
    <w:rsid w:val="16046E5A"/>
    <w:rsid w:val="16432D8F"/>
    <w:rsid w:val="16695008"/>
    <w:rsid w:val="16C74FBA"/>
    <w:rsid w:val="16F124BA"/>
    <w:rsid w:val="17644F26"/>
    <w:rsid w:val="17B978C8"/>
    <w:rsid w:val="17DB4B6E"/>
    <w:rsid w:val="181129CD"/>
    <w:rsid w:val="1820486B"/>
    <w:rsid w:val="19214E21"/>
    <w:rsid w:val="199E18BD"/>
    <w:rsid w:val="1A2727E7"/>
    <w:rsid w:val="1A613383"/>
    <w:rsid w:val="1A623031"/>
    <w:rsid w:val="1A70259C"/>
    <w:rsid w:val="1AC505E1"/>
    <w:rsid w:val="1AD07C34"/>
    <w:rsid w:val="1AF34FDE"/>
    <w:rsid w:val="1AFB70F8"/>
    <w:rsid w:val="1B040E70"/>
    <w:rsid w:val="1B0F07F0"/>
    <w:rsid w:val="1B0F4F3A"/>
    <w:rsid w:val="1B1D1C69"/>
    <w:rsid w:val="1B3B3F33"/>
    <w:rsid w:val="1B3F7594"/>
    <w:rsid w:val="1B447374"/>
    <w:rsid w:val="1B6844EC"/>
    <w:rsid w:val="1B8B56D6"/>
    <w:rsid w:val="1C237707"/>
    <w:rsid w:val="1C692FE3"/>
    <w:rsid w:val="1C717137"/>
    <w:rsid w:val="1C822128"/>
    <w:rsid w:val="1C882FDA"/>
    <w:rsid w:val="1CA44746"/>
    <w:rsid w:val="1CB26607"/>
    <w:rsid w:val="1CDC0B1F"/>
    <w:rsid w:val="1D080DB1"/>
    <w:rsid w:val="1D397095"/>
    <w:rsid w:val="1D5119E9"/>
    <w:rsid w:val="1D603E73"/>
    <w:rsid w:val="1D657C11"/>
    <w:rsid w:val="1E256DC8"/>
    <w:rsid w:val="1E2A5F7D"/>
    <w:rsid w:val="1EBA17F2"/>
    <w:rsid w:val="1F4E0A6E"/>
    <w:rsid w:val="1FC16040"/>
    <w:rsid w:val="1FD9730F"/>
    <w:rsid w:val="201D2009"/>
    <w:rsid w:val="20282533"/>
    <w:rsid w:val="206E7114"/>
    <w:rsid w:val="2073386C"/>
    <w:rsid w:val="20830537"/>
    <w:rsid w:val="20DC65D1"/>
    <w:rsid w:val="21156FD9"/>
    <w:rsid w:val="216C703C"/>
    <w:rsid w:val="2190237A"/>
    <w:rsid w:val="21AC5DB2"/>
    <w:rsid w:val="21DC595F"/>
    <w:rsid w:val="21F55742"/>
    <w:rsid w:val="22134CE6"/>
    <w:rsid w:val="221C77CD"/>
    <w:rsid w:val="221D5C67"/>
    <w:rsid w:val="22637EE5"/>
    <w:rsid w:val="226C2917"/>
    <w:rsid w:val="22833E6E"/>
    <w:rsid w:val="2297340B"/>
    <w:rsid w:val="23A5749E"/>
    <w:rsid w:val="244339C8"/>
    <w:rsid w:val="246D43BC"/>
    <w:rsid w:val="24714428"/>
    <w:rsid w:val="24EF30B3"/>
    <w:rsid w:val="25062EA1"/>
    <w:rsid w:val="251F4333"/>
    <w:rsid w:val="25566F3A"/>
    <w:rsid w:val="25742E0C"/>
    <w:rsid w:val="257F78F3"/>
    <w:rsid w:val="25D37709"/>
    <w:rsid w:val="26123153"/>
    <w:rsid w:val="26D1124E"/>
    <w:rsid w:val="26F30577"/>
    <w:rsid w:val="270D2478"/>
    <w:rsid w:val="277112B9"/>
    <w:rsid w:val="28017149"/>
    <w:rsid w:val="2833404B"/>
    <w:rsid w:val="28357CFA"/>
    <w:rsid w:val="28E62B38"/>
    <w:rsid w:val="29306EC8"/>
    <w:rsid w:val="294530AA"/>
    <w:rsid w:val="2A8F50CE"/>
    <w:rsid w:val="2A913D52"/>
    <w:rsid w:val="2B863E87"/>
    <w:rsid w:val="2B9E013C"/>
    <w:rsid w:val="2C77248E"/>
    <w:rsid w:val="2D28301B"/>
    <w:rsid w:val="2D2E365E"/>
    <w:rsid w:val="2D471744"/>
    <w:rsid w:val="2E2D45D5"/>
    <w:rsid w:val="2E9B7D7B"/>
    <w:rsid w:val="2EC348F3"/>
    <w:rsid w:val="2EDE7E59"/>
    <w:rsid w:val="2F402FF0"/>
    <w:rsid w:val="2F7677E6"/>
    <w:rsid w:val="2F9A1972"/>
    <w:rsid w:val="2FA76BED"/>
    <w:rsid w:val="30401676"/>
    <w:rsid w:val="30674603"/>
    <w:rsid w:val="309D5B68"/>
    <w:rsid w:val="30D14464"/>
    <w:rsid w:val="312A6E67"/>
    <w:rsid w:val="313F5FFD"/>
    <w:rsid w:val="317E4F51"/>
    <w:rsid w:val="31A001CC"/>
    <w:rsid w:val="32057716"/>
    <w:rsid w:val="32745372"/>
    <w:rsid w:val="337C5101"/>
    <w:rsid w:val="33E60932"/>
    <w:rsid w:val="33E95ECB"/>
    <w:rsid w:val="340B23B1"/>
    <w:rsid w:val="34DE2896"/>
    <w:rsid w:val="34E0682F"/>
    <w:rsid w:val="35012FD0"/>
    <w:rsid w:val="35032ACC"/>
    <w:rsid w:val="351246DE"/>
    <w:rsid w:val="354132A8"/>
    <w:rsid w:val="358F4DB3"/>
    <w:rsid w:val="363356D8"/>
    <w:rsid w:val="36724FF4"/>
    <w:rsid w:val="36E42E74"/>
    <w:rsid w:val="370021D7"/>
    <w:rsid w:val="37326C79"/>
    <w:rsid w:val="37575AA2"/>
    <w:rsid w:val="37F04B98"/>
    <w:rsid w:val="382B5A53"/>
    <w:rsid w:val="388E5242"/>
    <w:rsid w:val="38BF3EF1"/>
    <w:rsid w:val="39533026"/>
    <w:rsid w:val="3A16642D"/>
    <w:rsid w:val="3A5E6E87"/>
    <w:rsid w:val="3A624036"/>
    <w:rsid w:val="3AB52E60"/>
    <w:rsid w:val="3B3010E6"/>
    <w:rsid w:val="3B5D38F1"/>
    <w:rsid w:val="3B882086"/>
    <w:rsid w:val="3B9530DD"/>
    <w:rsid w:val="3BF94F3C"/>
    <w:rsid w:val="3CA8374A"/>
    <w:rsid w:val="3CB82487"/>
    <w:rsid w:val="3D01039F"/>
    <w:rsid w:val="3D0E4965"/>
    <w:rsid w:val="3D2914D3"/>
    <w:rsid w:val="3D5C77B0"/>
    <w:rsid w:val="3D601C71"/>
    <w:rsid w:val="3DC02D1A"/>
    <w:rsid w:val="3DD154AC"/>
    <w:rsid w:val="3E3E7602"/>
    <w:rsid w:val="3E5F36D1"/>
    <w:rsid w:val="3EB443E2"/>
    <w:rsid w:val="3F4953DF"/>
    <w:rsid w:val="3F8860F5"/>
    <w:rsid w:val="404A3D82"/>
    <w:rsid w:val="40653A56"/>
    <w:rsid w:val="40B20FD9"/>
    <w:rsid w:val="40C56FAD"/>
    <w:rsid w:val="40FA7A0F"/>
    <w:rsid w:val="414A019B"/>
    <w:rsid w:val="416A2E99"/>
    <w:rsid w:val="41D0109C"/>
    <w:rsid w:val="41D702B8"/>
    <w:rsid w:val="41DB31FC"/>
    <w:rsid w:val="41E23C7A"/>
    <w:rsid w:val="421347FB"/>
    <w:rsid w:val="421A377C"/>
    <w:rsid w:val="422C6610"/>
    <w:rsid w:val="43287299"/>
    <w:rsid w:val="43E94227"/>
    <w:rsid w:val="448A0801"/>
    <w:rsid w:val="44B55D9A"/>
    <w:rsid w:val="44DB3A92"/>
    <w:rsid w:val="4529287F"/>
    <w:rsid w:val="45307B35"/>
    <w:rsid w:val="453770FE"/>
    <w:rsid w:val="45DB3724"/>
    <w:rsid w:val="46265B26"/>
    <w:rsid w:val="46FD166B"/>
    <w:rsid w:val="470D6287"/>
    <w:rsid w:val="47AA4087"/>
    <w:rsid w:val="47C6150D"/>
    <w:rsid w:val="47E41A5E"/>
    <w:rsid w:val="47EF4B40"/>
    <w:rsid w:val="484E0062"/>
    <w:rsid w:val="488E7D01"/>
    <w:rsid w:val="48A12B89"/>
    <w:rsid w:val="48E92A94"/>
    <w:rsid w:val="48FD57D3"/>
    <w:rsid w:val="492274A0"/>
    <w:rsid w:val="49436DF0"/>
    <w:rsid w:val="496E4122"/>
    <w:rsid w:val="497C7630"/>
    <w:rsid w:val="498F14C7"/>
    <w:rsid w:val="49BF1565"/>
    <w:rsid w:val="4A1C7BD2"/>
    <w:rsid w:val="4A2E5A47"/>
    <w:rsid w:val="4A494F35"/>
    <w:rsid w:val="4A5F5F1D"/>
    <w:rsid w:val="4A610CF0"/>
    <w:rsid w:val="4AD137CE"/>
    <w:rsid w:val="4AD374C2"/>
    <w:rsid w:val="4B221F4C"/>
    <w:rsid w:val="4BAE3B4D"/>
    <w:rsid w:val="4BDC7B6F"/>
    <w:rsid w:val="4BE1721D"/>
    <w:rsid w:val="4C4A341D"/>
    <w:rsid w:val="4C5B43D2"/>
    <w:rsid w:val="4CFC08FB"/>
    <w:rsid w:val="4D0A00DF"/>
    <w:rsid w:val="4D2B2551"/>
    <w:rsid w:val="4DBC6C16"/>
    <w:rsid w:val="4E1A4C52"/>
    <w:rsid w:val="4E682FB2"/>
    <w:rsid w:val="4E9E75F4"/>
    <w:rsid w:val="4EE0321F"/>
    <w:rsid w:val="4EFF1583"/>
    <w:rsid w:val="4F315967"/>
    <w:rsid w:val="4F3A20DC"/>
    <w:rsid w:val="4F9C7A8D"/>
    <w:rsid w:val="4FCE2D13"/>
    <w:rsid w:val="4FD54917"/>
    <w:rsid w:val="50162EEB"/>
    <w:rsid w:val="506E6B10"/>
    <w:rsid w:val="50DB42CD"/>
    <w:rsid w:val="50DF037A"/>
    <w:rsid w:val="50ED2CD2"/>
    <w:rsid w:val="5101312A"/>
    <w:rsid w:val="51197C6A"/>
    <w:rsid w:val="51482BE9"/>
    <w:rsid w:val="514C291A"/>
    <w:rsid w:val="518755AE"/>
    <w:rsid w:val="51AB55FB"/>
    <w:rsid w:val="51C14A4E"/>
    <w:rsid w:val="51C23872"/>
    <w:rsid w:val="5241683A"/>
    <w:rsid w:val="52D36F44"/>
    <w:rsid w:val="52F90B91"/>
    <w:rsid w:val="530F1137"/>
    <w:rsid w:val="534A7A91"/>
    <w:rsid w:val="535F5F65"/>
    <w:rsid w:val="538C3FEE"/>
    <w:rsid w:val="53BA74BC"/>
    <w:rsid w:val="53F11646"/>
    <w:rsid w:val="541D243F"/>
    <w:rsid w:val="545A1BC3"/>
    <w:rsid w:val="54A42DD7"/>
    <w:rsid w:val="54D11650"/>
    <w:rsid w:val="55177BEF"/>
    <w:rsid w:val="553E24B5"/>
    <w:rsid w:val="558D7ED3"/>
    <w:rsid w:val="55FB3582"/>
    <w:rsid w:val="56206A24"/>
    <w:rsid w:val="56333818"/>
    <w:rsid w:val="56451D8A"/>
    <w:rsid w:val="566C1E9E"/>
    <w:rsid w:val="56CC2464"/>
    <w:rsid w:val="56DA7182"/>
    <w:rsid w:val="56FF5BBA"/>
    <w:rsid w:val="575303A8"/>
    <w:rsid w:val="575A0485"/>
    <w:rsid w:val="57750B67"/>
    <w:rsid w:val="58431EF0"/>
    <w:rsid w:val="58FD3EE5"/>
    <w:rsid w:val="59336A87"/>
    <w:rsid w:val="59970A21"/>
    <w:rsid w:val="59D1047B"/>
    <w:rsid w:val="59E72565"/>
    <w:rsid w:val="59EA5C88"/>
    <w:rsid w:val="5A87638D"/>
    <w:rsid w:val="5AD2770A"/>
    <w:rsid w:val="5AD3535B"/>
    <w:rsid w:val="5AEF5F83"/>
    <w:rsid w:val="5B4F6B30"/>
    <w:rsid w:val="5B500424"/>
    <w:rsid w:val="5BA43DEF"/>
    <w:rsid w:val="5BF9346A"/>
    <w:rsid w:val="5C1E2EE8"/>
    <w:rsid w:val="5D03614A"/>
    <w:rsid w:val="5D0442A5"/>
    <w:rsid w:val="5D3D7DE3"/>
    <w:rsid w:val="5D401330"/>
    <w:rsid w:val="5D6D3CCA"/>
    <w:rsid w:val="5D841F13"/>
    <w:rsid w:val="5DA349C3"/>
    <w:rsid w:val="5DAB04B6"/>
    <w:rsid w:val="5E525285"/>
    <w:rsid w:val="5EF804DB"/>
    <w:rsid w:val="5F2E1DE6"/>
    <w:rsid w:val="5F707342"/>
    <w:rsid w:val="5F921A4B"/>
    <w:rsid w:val="5FA04F83"/>
    <w:rsid w:val="5FBB3AC5"/>
    <w:rsid w:val="5FC93723"/>
    <w:rsid w:val="603321B6"/>
    <w:rsid w:val="607142FE"/>
    <w:rsid w:val="60716DEE"/>
    <w:rsid w:val="60AE34A8"/>
    <w:rsid w:val="60B159D2"/>
    <w:rsid w:val="60B93727"/>
    <w:rsid w:val="6100106C"/>
    <w:rsid w:val="614221C9"/>
    <w:rsid w:val="61675F69"/>
    <w:rsid w:val="616E35F1"/>
    <w:rsid w:val="617B2FBC"/>
    <w:rsid w:val="61F2057A"/>
    <w:rsid w:val="631D6573"/>
    <w:rsid w:val="6365796D"/>
    <w:rsid w:val="63685574"/>
    <w:rsid w:val="644060B8"/>
    <w:rsid w:val="644A528D"/>
    <w:rsid w:val="64674DD2"/>
    <w:rsid w:val="64F30BCA"/>
    <w:rsid w:val="65C5738B"/>
    <w:rsid w:val="65D055B2"/>
    <w:rsid w:val="65D74C6A"/>
    <w:rsid w:val="66AA55B3"/>
    <w:rsid w:val="66ED4EF7"/>
    <w:rsid w:val="674C2AC5"/>
    <w:rsid w:val="675F362D"/>
    <w:rsid w:val="67665EAB"/>
    <w:rsid w:val="677A69DC"/>
    <w:rsid w:val="67A97B4D"/>
    <w:rsid w:val="67FB236E"/>
    <w:rsid w:val="687D3F85"/>
    <w:rsid w:val="68901904"/>
    <w:rsid w:val="68906436"/>
    <w:rsid w:val="68F06D62"/>
    <w:rsid w:val="69005A20"/>
    <w:rsid w:val="6A1D265C"/>
    <w:rsid w:val="6AA5188B"/>
    <w:rsid w:val="6AA60B14"/>
    <w:rsid w:val="6AB9722D"/>
    <w:rsid w:val="6ADF4A12"/>
    <w:rsid w:val="6AF34D8B"/>
    <w:rsid w:val="6AF450F5"/>
    <w:rsid w:val="6AFA6AD0"/>
    <w:rsid w:val="6AFB7CA8"/>
    <w:rsid w:val="6B2B62FC"/>
    <w:rsid w:val="6B4F2327"/>
    <w:rsid w:val="6B5441E1"/>
    <w:rsid w:val="6C1558BB"/>
    <w:rsid w:val="6C3E7038"/>
    <w:rsid w:val="6CBB1D5A"/>
    <w:rsid w:val="6CC94382"/>
    <w:rsid w:val="6D567224"/>
    <w:rsid w:val="6D6B1D0E"/>
    <w:rsid w:val="6DC1408C"/>
    <w:rsid w:val="6DEE21AB"/>
    <w:rsid w:val="6E2450F0"/>
    <w:rsid w:val="6E695153"/>
    <w:rsid w:val="6E7B65D0"/>
    <w:rsid w:val="6E9708C4"/>
    <w:rsid w:val="6E9E3B7E"/>
    <w:rsid w:val="6F5E0457"/>
    <w:rsid w:val="6F6B65B8"/>
    <w:rsid w:val="6FB20AA5"/>
    <w:rsid w:val="6FD71800"/>
    <w:rsid w:val="7032640C"/>
    <w:rsid w:val="704345C7"/>
    <w:rsid w:val="705466A2"/>
    <w:rsid w:val="705E309C"/>
    <w:rsid w:val="707139C6"/>
    <w:rsid w:val="70D254D6"/>
    <w:rsid w:val="71AB0048"/>
    <w:rsid w:val="721B0AA5"/>
    <w:rsid w:val="7250053D"/>
    <w:rsid w:val="728533C3"/>
    <w:rsid w:val="72A87E1F"/>
    <w:rsid w:val="730A29E3"/>
    <w:rsid w:val="731D647A"/>
    <w:rsid w:val="733B5DE9"/>
    <w:rsid w:val="736B701A"/>
    <w:rsid w:val="739B6F83"/>
    <w:rsid w:val="73A71295"/>
    <w:rsid w:val="73FB02A1"/>
    <w:rsid w:val="74831C9A"/>
    <w:rsid w:val="749A61FE"/>
    <w:rsid w:val="74FD270E"/>
    <w:rsid w:val="7523261D"/>
    <w:rsid w:val="754F55C7"/>
    <w:rsid w:val="75D40DDA"/>
    <w:rsid w:val="76367EEC"/>
    <w:rsid w:val="7738009A"/>
    <w:rsid w:val="77623DEF"/>
    <w:rsid w:val="778405A2"/>
    <w:rsid w:val="77CB12C5"/>
    <w:rsid w:val="77D55A0F"/>
    <w:rsid w:val="788617C5"/>
    <w:rsid w:val="788C0C6D"/>
    <w:rsid w:val="789C2429"/>
    <w:rsid w:val="78D357BA"/>
    <w:rsid w:val="78F43FED"/>
    <w:rsid w:val="797A65BB"/>
    <w:rsid w:val="79D9203B"/>
    <w:rsid w:val="7A051D01"/>
    <w:rsid w:val="7A154775"/>
    <w:rsid w:val="7A4B2E0F"/>
    <w:rsid w:val="7A4C336D"/>
    <w:rsid w:val="7AF7683F"/>
    <w:rsid w:val="7AFF3DA0"/>
    <w:rsid w:val="7B192D8B"/>
    <w:rsid w:val="7B1F19E4"/>
    <w:rsid w:val="7B655E02"/>
    <w:rsid w:val="7B657F96"/>
    <w:rsid w:val="7B6A4DBB"/>
    <w:rsid w:val="7B6E6718"/>
    <w:rsid w:val="7BBC6D48"/>
    <w:rsid w:val="7BC83C45"/>
    <w:rsid w:val="7BF35954"/>
    <w:rsid w:val="7C4332DC"/>
    <w:rsid w:val="7C5266C0"/>
    <w:rsid w:val="7C6B5434"/>
    <w:rsid w:val="7C7E5D53"/>
    <w:rsid w:val="7C9833B5"/>
    <w:rsid w:val="7CA402B8"/>
    <w:rsid w:val="7CA61BDC"/>
    <w:rsid w:val="7CD23C3F"/>
    <w:rsid w:val="7CE13334"/>
    <w:rsid w:val="7D17679B"/>
    <w:rsid w:val="7DF81D9F"/>
    <w:rsid w:val="7E14366E"/>
    <w:rsid w:val="7E342D90"/>
    <w:rsid w:val="7E372D56"/>
    <w:rsid w:val="7E5D2124"/>
    <w:rsid w:val="7F5309C7"/>
    <w:rsid w:val="7FDB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ScaleCrop>false</ScaleCrop>
  <LinksUpToDate>false</LinksUpToDate>
  <CharactersWithSpaces>8418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2021-05-31T06:55:00Z</cp:lastPrinted>
  <dcterms:modified xsi:type="dcterms:W3CDTF">2021-06-04T03:18:34Z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