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rFonts w:hint="eastAsia"/>
          <w:sz w:val="84"/>
          <w:szCs w:val="84"/>
          <w:lang w:eastAsia="zh-CN"/>
        </w:rPr>
      </w:pPr>
      <w:r>
        <w:rPr>
          <w:rFonts w:hint="eastAsia"/>
          <w:sz w:val="84"/>
          <w:szCs w:val="84"/>
          <w:lang w:eastAsia="zh-CN"/>
        </w:rPr>
        <w:t>洞口县卫生系统财务集中核算管理中心</w:t>
      </w:r>
    </w:p>
    <w:p>
      <w:pPr>
        <w:pStyle w:val="10"/>
        <w:jc w:val="center"/>
        <w:rPr>
          <w:rFonts w:hint="eastAsia" w:eastAsia="黑体"/>
          <w:sz w:val="84"/>
          <w:szCs w:val="84"/>
          <w:lang w:eastAsia="zh-CN"/>
        </w:rPr>
      </w:pPr>
      <w:r>
        <w:rPr>
          <w:rFonts w:hint="eastAsia"/>
          <w:sz w:val="84"/>
          <w:szCs w:val="84"/>
        </w:rPr>
        <w:t>部门决算</w:t>
      </w:r>
      <w:r>
        <w:rPr>
          <w:rFonts w:hint="eastAsia"/>
          <w:sz w:val="84"/>
          <w:szCs w:val="84"/>
          <w:lang w:eastAsia="zh-CN"/>
        </w:rPr>
        <w:t>公开</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both"/>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洞口县卫生系统财务集中核算管理中心</w:t>
      </w:r>
      <w:r>
        <w:rPr>
          <w:rFonts w:hint="eastAsia"/>
          <w:b/>
          <w:sz w:val="28"/>
          <w:szCs w:val="28"/>
        </w:rPr>
        <w:t>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仿宋_GB2312" w:hAnsi="仿宋_GB2312" w:cs="仿宋_GB2312"/>
          <w:color w:val="000000"/>
          <w:kern w:val="0"/>
          <w:sz w:val="28"/>
          <w:szCs w:val="28"/>
        </w:rPr>
      </w:pPr>
      <w:r>
        <w:rPr>
          <w:rFonts w:ascii="黑体" w:hAnsi="黑体" w:eastAsia="黑体" w:cs="黑体"/>
          <w:b/>
          <w:color w:val="000000"/>
          <w:kern w:val="0"/>
          <w:sz w:val="28"/>
          <w:szCs w:val="28"/>
        </w:rPr>
        <w:t>第四部分名词解释</w:t>
      </w:r>
    </w:p>
    <w:p>
      <w:pPr>
        <w:pStyle w:val="10"/>
        <w:jc w:val="both"/>
        <w:rPr>
          <w:rFonts w:hint="eastAsia"/>
          <w:sz w:val="72"/>
          <w:szCs w:val="72"/>
        </w:rPr>
      </w:pPr>
    </w:p>
    <w:p>
      <w:pPr>
        <w:pStyle w:val="10"/>
        <w:jc w:val="both"/>
        <w:rPr>
          <w:sz w:val="84"/>
          <w:szCs w:val="84"/>
        </w:rPr>
      </w:pPr>
      <w:r>
        <w:rPr>
          <w:rFonts w:hint="eastAsia"/>
          <w:sz w:val="72"/>
          <w:szCs w:val="72"/>
        </w:rPr>
        <w:t>第一部分</w:t>
      </w:r>
      <w:r>
        <w:rPr>
          <w:sz w:val="84"/>
          <w:szCs w:val="84"/>
        </w:rPr>
        <w:t xml:space="preserve"> </w:t>
      </w:r>
    </w:p>
    <w:p>
      <w:pPr>
        <w:pStyle w:val="10"/>
        <w:jc w:val="both"/>
        <w:rPr>
          <w:rFonts w:ascii="黑体" w:hAnsi="黑体" w:eastAsia="黑体"/>
          <w:sz w:val="32"/>
          <w:szCs w:val="32"/>
        </w:rPr>
      </w:pPr>
      <w:r>
        <w:rPr>
          <w:rFonts w:hint="eastAsia"/>
          <w:sz w:val="56"/>
          <w:szCs w:val="56"/>
          <w:lang w:eastAsia="zh-CN"/>
        </w:rPr>
        <w:t>洞口县卫生系统财务集中核算管理中心</w:t>
      </w:r>
      <w:r>
        <w:rPr>
          <w:rFonts w:hint="eastAsia"/>
          <w:sz w:val="56"/>
          <w:szCs w:val="56"/>
        </w:rPr>
        <w:t>概况</w:t>
      </w: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rPr>
        <w:t>贯彻执行国家</w:t>
      </w:r>
      <w:r>
        <w:rPr>
          <w:rFonts w:hint="eastAsia" w:ascii="宋体" w:hAnsi="宋体" w:eastAsia="宋体" w:cs="宋体"/>
          <w:sz w:val="28"/>
          <w:szCs w:val="28"/>
          <w:lang w:eastAsia="zh-CN"/>
        </w:rPr>
        <w:t>，省</w:t>
      </w:r>
      <w:r>
        <w:rPr>
          <w:rFonts w:hint="eastAsia" w:ascii="宋体" w:hAnsi="宋体" w:eastAsia="宋体" w:cs="宋体"/>
          <w:sz w:val="28"/>
          <w:szCs w:val="28"/>
        </w:rPr>
        <w:t>有关</w:t>
      </w:r>
      <w:r>
        <w:rPr>
          <w:rFonts w:hint="eastAsia" w:ascii="宋体" w:hAnsi="宋体" w:eastAsia="宋体" w:cs="宋体"/>
          <w:sz w:val="28"/>
          <w:szCs w:val="28"/>
          <w:lang w:eastAsia="zh-CN"/>
        </w:rPr>
        <w:t>会计</w:t>
      </w:r>
      <w:r>
        <w:rPr>
          <w:rFonts w:hint="eastAsia" w:ascii="宋体" w:hAnsi="宋体" w:eastAsia="宋体" w:cs="宋体"/>
          <w:sz w:val="28"/>
          <w:szCs w:val="28"/>
        </w:rPr>
        <w:t>法律法规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在卫健局的领导下</w:t>
      </w:r>
      <w:r>
        <w:rPr>
          <w:rFonts w:hint="eastAsia" w:ascii="宋体" w:hAnsi="宋体" w:eastAsia="宋体" w:cs="宋体"/>
          <w:sz w:val="28"/>
          <w:szCs w:val="28"/>
          <w:lang w:eastAsia="zh-CN"/>
        </w:rPr>
        <w:t>依法依规对基层医疗卫生单位进行会计核算，实行财务监督；</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rPr>
        <w:t>负责全县基层医疗卫生单位经费的预算、核算、决算、确保基层医疗卫生机构财政拨款及时，足额拨入，并按时拨付。</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lang w:eastAsia="zh-CN"/>
        </w:rPr>
        <w:t>负责基层医疗卫生单位的业务收支、住来款项的结算，会计凭证的填制，会计帐簿的登记，财务报告的编制，会计档案的保管及会计信息的提供；</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lang w:eastAsia="zh-CN"/>
        </w:rPr>
        <w:t>负责基层医疗卫生单位原始凭证的合法性、真实性、完整性的审核工作，遵守财政纪侓；</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lang w:eastAsia="zh-CN"/>
        </w:rPr>
        <w:t>加强与负责基层医疗卫生单位的工作联系，及时了解单位的财务收支、资金运作情况，严格执行预算计划，帮助和指导财务专管员做好单位的财务管理工作；</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rPr>
        <w:t>负责全县基层医疗卫生单位的上级专项资金（含物资、器械）的申请、拨入工作，监督资金的专款专用并跟踪问效。</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rPr>
        <w:t>分析全县基层医疗卫生单位经济运行状况，及时掌握资金流向，确保基层医疗卫生机构的经济良性循环和事业健康发展。</w:t>
      </w:r>
    </w:p>
    <w:p>
      <w:pPr>
        <w:numPr>
          <w:ilvl w:val="0"/>
          <w:numId w:val="2"/>
        </w:numPr>
        <w:ind w:firstLine="700" w:firstLineChars="250"/>
        <w:jc w:val="left"/>
        <w:rPr>
          <w:rFonts w:hint="eastAsia" w:ascii="宋体" w:hAnsi="宋体" w:eastAsia="宋体" w:cs="宋体"/>
          <w:sz w:val="28"/>
          <w:szCs w:val="28"/>
        </w:rPr>
      </w:pPr>
      <w:r>
        <w:rPr>
          <w:rFonts w:hint="eastAsia" w:ascii="宋体" w:hAnsi="宋体" w:eastAsia="宋体" w:cs="宋体"/>
          <w:sz w:val="28"/>
          <w:szCs w:val="28"/>
        </w:rPr>
        <w:t>加强对基层医疗卫生单位的经济管理，不断探索增收节支新途径，挖掘资金使用潜力，提出基层医疗卫生单位健康和谐发展合理化意见和建议。</w:t>
      </w:r>
    </w:p>
    <w:p>
      <w:pPr>
        <w:numPr>
          <w:ilvl w:val="0"/>
          <w:numId w:val="2"/>
        </w:numPr>
        <w:ind w:firstLine="700" w:firstLineChars="250"/>
        <w:jc w:val="left"/>
        <w:rPr>
          <w:rFonts w:hint="eastAsia" w:ascii="宋体" w:hAnsi="宋体" w:eastAsia="宋体" w:cs="宋体"/>
          <w:sz w:val="32"/>
          <w:szCs w:val="32"/>
        </w:rPr>
      </w:pPr>
      <w:r>
        <w:rPr>
          <w:rFonts w:hint="eastAsia" w:ascii="宋体" w:hAnsi="宋体" w:eastAsia="宋体" w:cs="宋体"/>
          <w:sz w:val="28"/>
          <w:szCs w:val="28"/>
        </w:rPr>
        <w:t>建立并完善基层医疗卫生单位财务管理和会计核算制度，规范财务行为，确保会计核算资料的真实、完整。</w:t>
      </w:r>
    </w:p>
    <w:p>
      <w:pPr>
        <w:widowControl/>
        <w:spacing w:line="600" w:lineRule="exact"/>
        <w:rPr>
          <w:rFonts w:hint="eastAsia" w:ascii="黑体" w:hAnsi="黑体" w:eastAsia="黑体"/>
          <w:bCs/>
          <w:kern w:val="0"/>
          <w:sz w:val="32"/>
          <w:szCs w:val="32"/>
          <w:lang w:eastAsia="zh-CN"/>
        </w:rPr>
      </w:pPr>
      <w:r>
        <w:rPr>
          <w:rFonts w:hint="eastAsia" w:ascii="黑体" w:hAnsi="黑体" w:eastAsia="黑体"/>
          <w:bCs/>
          <w:kern w:val="0"/>
          <w:sz w:val="32"/>
          <w:szCs w:val="32"/>
        </w:rPr>
        <w:t>二、</w:t>
      </w:r>
      <w:r>
        <w:rPr>
          <w:rFonts w:hint="eastAsia" w:ascii="黑体" w:hAnsi="黑体" w:eastAsia="黑体"/>
          <w:bCs/>
          <w:kern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洞口县卫生系统财务集中核算管理中心行政编制人数　0人，事业编制人数5人。实有人数5人，其中在职5人，退休0人。公务车辆核定编制0辆，实有公务车辆0辆。</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both"/>
        <w:rPr>
          <w:sz w:val="72"/>
          <w:szCs w:val="72"/>
        </w:rPr>
      </w:pPr>
    </w:p>
    <w:p>
      <w:pPr>
        <w:jc w:val="center"/>
        <w:rPr>
          <w:rFonts w:hint="eastAsia"/>
          <w:sz w:val="72"/>
          <w:szCs w:val="72"/>
        </w:rPr>
      </w:pPr>
    </w:p>
    <w:p>
      <w:pPr>
        <w:jc w:val="center"/>
        <w:rPr>
          <w:rFonts w:hint="eastAsia"/>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sz w:val="72"/>
          <w:szCs w:val="72"/>
        </w:rPr>
      </w:pPr>
    </w:p>
    <w:p>
      <w:pPr>
        <w:jc w:val="center"/>
        <w:rPr>
          <w:rFonts w:hint="eastAsia" w:ascii="黑体" w:hAnsi="黑体" w:eastAsia="黑体" w:cs="黑体"/>
          <w:sz w:val="56"/>
          <w:szCs w:val="56"/>
          <w:lang w:eastAsia="zh-CN"/>
        </w:rPr>
      </w:pPr>
      <w:r>
        <w:rPr>
          <w:rFonts w:hint="eastAsia" w:ascii="黑体" w:hAnsi="黑体" w:eastAsia="黑体" w:cs="黑体"/>
          <w:sz w:val="56"/>
          <w:szCs w:val="56"/>
          <w:lang w:eastAsia="zh-CN"/>
        </w:rPr>
        <w:t>洞口县卫生系统财务集中核算管理中心</w:t>
      </w:r>
    </w:p>
    <w:p>
      <w:pPr>
        <w:jc w:val="center"/>
        <w:rPr>
          <w:rFonts w:hint="eastAsia" w:ascii="黑体" w:hAnsi="黑体" w:eastAsia="黑体" w:cs="黑体"/>
          <w:sz w:val="56"/>
          <w:szCs w:val="56"/>
        </w:rPr>
      </w:pPr>
      <w:r>
        <w:rPr>
          <w:rFonts w:hint="eastAsia" w:ascii="黑体" w:hAnsi="黑体" w:eastAsia="黑体" w:cs="黑体"/>
          <w:sz w:val="56"/>
          <w:szCs w:val="56"/>
          <w:lang w:val="en-US" w:eastAsia="zh-CN"/>
        </w:rPr>
        <w:t>2019年度</w:t>
      </w:r>
      <w:r>
        <w:rPr>
          <w:rFonts w:hint="eastAsia" w:ascii="黑体" w:hAnsi="黑体" w:eastAsia="黑体" w:cs="黑体"/>
          <w:sz w:val="56"/>
          <w:szCs w:val="56"/>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Ind w:w="0" w:type="dxa"/>
        <w:tblLayout w:type="fixed"/>
        <w:tblCellMar>
          <w:top w:w="0" w:type="dxa"/>
          <w:left w:w="108" w:type="dxa"/>
          <w:bottom w:w="0" w:type="dxa"/>
          <w:right w:w="108" w:type="dxa"/>
        </w:tblCellMar>
      </w:tblPr>
      <w:tblGrid>
        <w:gridCol w:w="4932"/>
        <w:gridCol w:w="702"/>
        <w:gridCol w:w="1224"/>
        <w:gridCol w:w="4820"/>
        <w:gridCol w:w="702"/>
        <w:gridCol w:w="1681"/>
      </w:tblGrid>
      <w:tr>
        <w:tblPrEx>
          <w:tblLayout w:type="fixed"/>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卫生健康支出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74.26</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val="0"/>
                <w:bCs w:val="0"/>
                <w:kern w:val="0"/>
                <w:szCs w:val="21"/>
                <w:lang w:val="en-US" w:eastAsia="zh-CN"/>
              </w:rPr>
              <w:t>74.26</w:t>
            </w:r>
          </w:p>
        </w:tc>
      </w:tr>
      <w:tr>
        <w:tblPrEx>
          <w:tblLayout w:type="fixed"/>
          <w:tblCellMar>
            <w:top w:w="0" w:type="dxa"/>
            <w:left w:w="108" w:type="dxa"/>
            <w:bottom w:w="0" w:type="dxa"/>
            <w:right w:w="108" w:type="dxa"/>
          </w:tblCellMar>
        </w:tblPrEx>
        <w:trPr>
          <w:trHeight w:val="36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74.26</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lang w:val="en-US" w:eastAsia="zh-CN"/>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洞口县卫生系统财务集中核算管理中心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13" w:type="dxa"/>
        <w:jc w:val="center"/>
        <w:tblInd w:w="0" w:type="dxa"/>
        <w:tblLayout w:type="fixed"/>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Layout w:type="fixed"/>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Layout w:type="fixed"/>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Layout w:type="fixed"/>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1188"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13"/>
                <w:szCs w:val="13"/>
                <w:lang w:eastAsia="zh-CN"/>
              </w:rPr>
            </w:pPr>
            <w:r>
              <w:rPr>
                <w:rFonts w:hint="eastAsia" w:ascii="Times New Roman" w:hAnsi="Times New Roman" w:eastAsia="仿宋_GB2312" w:cs="Times New Roman"/>
                <w:kern w:val="0"/>
                <w:sz w:val="13"/>
                <w:szCs w:val="13"/>
                <w:lang w:eastAsia="zh-CN"/>
              </w:rPr>
              <w:t>卫生健康支出</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21001</w:t>
            </w:r>
          </w:p>
        </w:tc>
        <w:tc>
          <w:tcPr>
            <w:tcW w:w="1188"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13"/>
                <w:szCs w:val="13"/>
                <w:lang w:eastAsia="zh-CN"/>
              </w:rPr>
            </w:pPr>
            <w:r>
              <w:rPr>
                <w:rFonts w:hint="eastAsia" w:ascii="Times New Roman" w:hAnsi="Times New Roman" w:eastAsia="仿宋_GB2312" w:cs="Times New Roman"/>
                <w:kern w:val="0"/>
                <w:sz w:val="11"/>
                <w:szCs w:val="11"/>
                <w:lang w:eastAsia="zh-CN"/>
              </w:rPr>
              <w:t>卫生健康管理事务</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2100101</w:t>
            </w:r>
          </w:p>
        </w:tc>
        <w:tc>
          <w:tcPr>
            <w:tcW w:w="1188"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13"/>
                <w:szCs w:val="13"/>
                <w:lang w:eastAsia="zh-CN"/>
              </w:rPr>
            </w:pPr>
            <w:r>
              <w:rPr>
                <w:rFonts w:ascii="Times New Roman" w:hAnsi="Times New Roman" w:eastAsia="仿宋_GB2312" w:cs="Times New Roman"/>
                <w:kern w:val="0"/>
                <w:sz w:val="13"/>
                <w:szCs w:val="13"/>
              </w:rPr>
              <w:t>　</w:t>
            </w:r>
            <w:r>
              <w:rPr>
                <w:rFonts w:hint="eastAsia" w:ascii="Times New Roman" w:hAnsi="Times New Roman" w:eastAsia="仿宋_GB2312" w:cs="Times New Roman"/>
                <w:kern w:val="0"/>
                <w:sz w:val="13"/>
                <w:szCs w:val="13"/>
                <w:lang w:eastAsia="zh-CN"/>
              </w:rPr>
              <w:t>行政运行</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w:t>
            </w: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13"/>
                <w:szCs w:val="13"/>
                <w:lang w:eastAsia="zh-CN"/>
              </w:rPr>
            </w:pPr>
            <w:r>
              <w:rPr>
                <w:rFonts w:hint="eastAsia" w:ascii="Times New Roman" w:hAnsi="Times New Roman" w:eastAsia="仿宋_GB2312" w:cs="Times New Roman"/>
                <w:kern w:val="0"/>
                <w:sz w:val="11"/>
                <w:szCs w:val="11"/>
                <w:lang w:eastAsia="zh-CN"/>
              </w:rPr>
              <w:t>其他卫生健康支出</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2109901</w:t>
            </w:r>
          </w:p>
        </w:tc>
        <w:tc>
          <w:tcPr>
            <w:tcW w:w="1188"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 w:val="13"/>
                <w:szCs w:val="13"/>
                <w:lang w:eastAsia="zh-CN"/>
              </w:rPr>
            </w:pPr>
            <w:r>
              <w:rPr>
                <w:rFonts w:ascii="Times New Roman" w:hAnsi="Times New Roman" w:eastAsia="仿宋_GB2312" w:cs="Times New Roman"/>
                <w:kern w:val="0"/>
                <w:sz w:val="13"/>
                <w:szCs w:val="13"/>
              </w:rPr>
              <w:t>　</w:t>
            </w:r>
            <w:r>
              <w:rPr>
                <w:rFonts w:hint="eastAsia" w:ascii="Times New Roman" w:hAnsi="Times New Roman" w:eastAsia="仿宋_GB2312" w:cs="Times New Roman"/>
                <w:kern w:val="0"/>
                <w:sz w:val="10"/>
                <w:szCs w:val="10"/>
                <w:lang w:eastAsia="zh-CN"/>
              </w:rPr>
              <w:t>其他卫生健康支出</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 w:val="13"/>
                <w:szCs w:val="13"/>
              </w:rPr>
            </w:pPr>
            <w:r>
              <w:rPr>
                <w:rFonts w:ascii="Times New Roman" w:hAnsi="Times New Roman" w:eastAsia="仿宋_GB2312" w:cs="Times New Roman"/>
                <w:kern w:val="0"/>
                <w:sz w:val="13"/>
                <w:szCs w:val="13"/>
              </w:rPr>
              <w:t>　</w:t>
            </w:r>
          </w:p>
        </w:tc>
        <w:tc>
          <w:tcPr>
            <w:tcW w:w="1676"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lang w:eastAsia="zh-CN"/>
        </w:rPr>
        <w:t>洞口县卫生系统财务集中核算管理中心</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p>
        </w:tc>
        <w:tc>
          <w:tcPr>
            <w:tcW w:w="1249" w:type="dxa"/>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 w:val="13"/>
                <w:szCs w:val="13"/>
                <w:lang w:eastAsia="zh-CN"/>
              </w:rPr>
              <w:t>卫生健康支出</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21001</w:t>
            </w:r>
          </w:p>
        </w:tc>
        <w:tc>
          <w:tcPr>
            <w:tcW w:w="1249" w:type="dxa"/>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 w:val="11"/>
                <w:szCs w:val="11"/>
                <w:lang w:eastAsia="zh-CN"/>
              </w:rPr>
              <w:t>卫生健康管理事务</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2100101</w:t>
            </w:r>
          </w:p>
        </w:tc>
        <w:tc>
          <w:tcPr>
            <w:tcW w:w="1249" w:type="dxa"/>
            <w:shd w:val="clear" w:color="auto" w:fill="auto"/>
            <w:vAlign w:val="center"/>
          </w:tcPr>
          <w:p>
            <w:pPr>
              <w:widowControl/>
              <w:jc w:val="both"/>
              <w:rPr>
                <w:rFonts w:ascii="Times New Roman" w:hAnsi="Times New Roman" w:eastAsia="仿宋_GB2312" w:cs="Times New Roman"/>
                <w:kern w:val="0"/>
                <w:szCs w:val="21"/>
              </w:rPr>
            </w:pPr>
            <w:r>
              <w:rPr>
                <w:rFonts w:ascii="Times New Roman" w:hAnsi="Times New Roman" w:eastAsia="仿宋_GB2312" w:cs="Times New Roman"/>
                <w:kern w:val="0"/>
                <w:sz w:val="13"/>
                <w:szCs w:val="13"/>
              </w:rPr>
              <w:t>　</w:t>
            </w:r>
            <w:r>
              <w:rPr>
                <w:rFonts w:hint="eastAsia" w:ascii="Times New Roman" w:hAnsi="Times New Roman" w:eastAsia="仿宋_GB2312" w:cs="Times New Roman"/>
                <w:kern w:val="0"/>
                <w:sz w:val="13"/>
                <w:szCs w:val="13"/>
                <w:lang w:eastAsia="zh-CN"/>
              </w:rPr>
              <w:t>行政运行</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w:t>
            </w:r>
            <w:r>
              <w:rPr>
                <w:rFonts w:ascii="Times New Roman" w:hAnsi="Times New Roman" w:eastAsia="仿宋_GB2312" w:cs="Times New Roman"/>
                <w:kern w:val="0"/>
                <w:szCs w:val="21"/>
              </w:rPr>
              <w:t>　</w:t>
            </w:r>
          </w:p>
        </w:tc>
        <w:tc>
          <w:tcPr>
            <w:tcW w:w="1249" w:type="dxa"/>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 w:val="11"/>
                <w:szCs w:val="11"/>
                <w:lang w:eastAsia="zh-CN"/>
              </w:rPr>
              <w:t>其他卫生健康支出</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2109901</w:t>
            </w:r>
          </w:p>
        </w:tc>
        <w:tc>
          <w:tcPr>
            <w:tcW w:w="1249" w:type="dxa"/>
            <w:shd w:val="clear" w:color="auto" w:fill="auto"/>
            <w:vAlign w:val="center"/>
          </w:tcPr>
          <w:p>
            <w:pPr>
              <w:widowControl/>
              <w:jc w:val="both"/>
              <w:rPr>
                <w:rFonts w:ascii="Times New Roman" w:hAnsi="Times New Roman" w:eastAsia="仿宋_GB2312" w:cs="Times New Roman"/>
                <w:kern w:val="0"/>
                <w:szCs w:val="21"/>
              </w:rPr>
            </w:pPr>
            <w:r>
              <w:rPr>
                <w:rFonts w:ascii="Times New Roman" w:hAnsi="Times New Roman" w:eastAsia="仿宋_GB2312" w:cs="Times New Roman"/>
                <w:kern w:val="0"/>
                <w:sz w:val="13"/>
                <w:szCs w:val="13"/>
              </w:rPr>
              <w:t>　</w:t>
            </w:r>
            <w:r>
              <w:rPr>
                <w:rFonts w:hint="eastAsia" w:ascii="Times New Roman" w:hAnsi="Times New Roman" w:eastAsia="仿宋_GB2312" w:cs="Times New Roman"/>
                <w:kern w:val="0"/>
                <w:sz w:val="10"/>
                <w:szCs w:val="10"/>
                <w:lang w:eastAsia="zh-CN"/>
              </w:rPr>
              <w:t>其他卫生健康支出</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卫生健康支出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val="en-US" w:eastAsia="zh-CN"/>
              </w:rPr>
              <w:t>0.00</w:t>
            </w: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lang w:val="en-US" w:eastAsia="zh-CN"/>
              </w:rPr>
              <w:t>0.00</w:t>
            </w:r>
            <w:r>
              <w:rPr>
                <w:rFonts w:ascii="Times New Roman" w:hAnsi="Times New Roman" w:eastAsia="仿宋_GB2312" w:cs="Times New Roman"/>
                <w:b w:val="0"/>
                <w:bCs w:val="0"/>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74.26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21001</w:t>
            </w:r>
          </w:p>
        </w:tc>
        <w:tc>
          <w:tcPr>
            <w:tcW w:w="3527" w:type="dxa"/>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2100101</w:t>
            </w:r>
          </w:p>
        </w:tc>
        <w:tc>
          <w:tcPr>
            <w:tcW w:w="3527" w:type="dxa"/>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67.55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2109901</w:t>
            </w:r>
          </w:p>
        </w:tc>
        <w:tc>
          <w:tcPr>
            <w:tcW w:w="3527" w:type="dxa"/>
            <w:tcBorders>
              <w:top w:val="nil"/>
              <w:left w:val="nil"/>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eastAsia="zh-CN"/>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Layout w:type="fixed"/>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38.52</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 xml:space="preserve"> 9.23</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15.82</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2.39</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0.21</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0.54</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10.62</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4.86</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3.20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2.15</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0.56</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1.90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3.22</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0.88</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26.18</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 xml:space="preserve">   1.73</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19.47</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6.71</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0.00</w:t>
            </w: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Times New Roman" w:hAnsi="Times New Roman" w:eastAsia="宋体" w:cs="Times New Roman"/>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0.00</w:t>
            </w: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Times New Roman" w:hAnsi="Times New Roman" w:eastAsia="宋体" w:cs="Times New Roman"/>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0.00</w:t>
            </w: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vAlign w:val="top"/>
          </w:tcPr>
          <w:p>
            <w:pPr>
              <w:widowControl/>
              <w:jc w:val="right"/>
              <w:rPr>
                <w:rFonts w:ascii="Times New Roman" w:hAnsi="Times New Roman" w:eastAsia="宋体" w:cs="Times New Roman"/>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Times New Roman" w:hAnsi="Times New Roman" w:eastAsia="宋体" w:cs="Times New Roman"/>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Times New Roman" w:hAnsi="Times New Roman" w:eastAsia="宋体" w:cs="Times New Roman"/>
                <w:color w:val="000000"/>
                <w:kern w:val="0"/>
                <w:sz w:val="18"/>
                <w:szCs w:val="18"/>
              </w:rPr>
            </w:pPr>
            <w:r>
              <w:rPr>
                <w:rFonts w:hint="eastAsia" w:ascii="仿宋_GB2312" w:hAnsi="宋体" w:eastAsia="仿宋_GB2312" w:cs="宋体"/>
                <w:color w:val="000000"/>
                <w:kern w:val="0"/>
                <w:sz w:val="18"/>
                <w:szCs w:val="18"/>
                <w:lang w:val="en-US" w:eastAsia="zh-CN"/>
              </w:rPr>
              <w:t>0.00</w:t>
            </w: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65.03</w:t>
            </w:r>
            <w:r>
              <w:rPr>
                <w:rFonts w:ascii="Times New Roman" w:hAnsi="Times New Roman" w:eastAsia="宋体" w:cs="Times New Roman"/>
                <w:color w:val="000000"/>
                <w:kern w:val="0"/>
                <w:sz w:val="18"/>
                <w:szCs w:val="18"/>
              </w:rPr>
              <w:t>　</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9.23</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洞口县卫生系统财务集中核算管理中心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color w:val="000000"/>
          <w:kern w:val="0"/>
          <w:szCs w:val="21"/>
          <w:lang w:eastAsia="zh-CN"/>
        </w:rPr>
        <w:t>洞口县卫生系统财务集中核算管理中心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pStyle w:val="10"/>
        <w:jc w:val="both"/>
        <w:rPr>
          <w:sz w:val="72"/>
          <w:szCs w:val="72"/>
        </w:rPr>
      </w:pPr>
      <w:r>
        <w:rPr>
          <w:rFonts w:hint="eastAsia"/>
          <w:sz w:val="72"/>
          <w:szCs w:val="72"/>
        </w:rPr>
        <w:t>第三部分</w:t>
      </w:r>
    </w:p>
    <w:p>
      <w:pPr>
        <w:pStyle w:val="10"/>
        <w:jc w:val="both"/>
        <w:rPr>
          <w:sz w:val="56"/>
          <w:szCs w:val="56"/>
        </w:rPr>
      </w:pPr>
      <w:r>
        <w:rPr>
          <w:rFonts w:hint="eastAsia"/>
          <w:sz w:val="56"/>
          <w:szCs w:val="56"/>
          <w:lang w:eastAsia="zh-CN"/>
        </w:rPr>
        <w:t>洞口县卫生系统财务集中核算管理中心</w:t>
      </w:r>
      <w:r>
        <w:rPr>
          <w:sz w:val="56"/>
          <w:szCs w:val="56"/>
        </w:rPr>
        <w:t>2019</w:t>
      </w:r>
      <w:r>
        <w:rPr>
          <w:rFonts w:hint="eastAsia"/>
          <w:sz w:val="56"/>
          <w:szCs w:val="56"/>
        </w:rPr>
        <w:t>年度部门决算情况说明</w:t>
      </w:r>
    </w:p>
    <w:p>
      <w:pPr>
        <w:widowControl/>
        <w:jc w:val="left"/>
        <w:rPr>
          <w:rFonts w:hAnsi="黑体"/>
          <w:b/>
          <w:sz w:val="32"/>
          <w:szCs w:val="32"/>
        </w:rPr>
      </w:pPr>
      <w:r>
        <w:rPr>
          <w:rFonts w:hint="eastAsia" w:hAnsi="黑体"/>
          <w:b/>
          <w:sz w:val="32"/>
          <w:szCs w:val="32"/>
        </w:rPr>
        <w:t>一、收入支出决算总体情况说明</w:t>
      </w:r>
    </w:p>
    <w:p>
      <w:pPr>
        <w:pStyle w:val="10"/>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2019 年度收、支总计</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万元。与2018年相比，增加</w:t>
      </w:r>
      <w:r>
        <w:rPr>
          <w:rFonts w:hint="eastAsia" w:asciiTheme="minorEastAsia" w:hAnsiTheme="minorEastAsia" w:eastAsiaTheme="minorEastAsia"/>
          <w:sz w:val="28"/>
          <w:szCs w:val="28"/>
          <w:lang w:val="en-US" w:eastAsia="zh-CN"/>
        </w:rPr>
        <w:t>11.59</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15</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w:t>
      </w:r>
      <w:r>
        <w:rPr>
          <w:rFonts w:hint="eastAsia" w:asciiTheme="minorEastAsia" w:hAnsiTheme="minorEastAsia" w:eastAsiaTheme="minorEastAsia"/>
          <w:sz w:val="28"/>
          <w:szCs w:val="28"/>
          <w:lang w:val="en-US" w:eastAsia="zh-CN"/>
        </w:rPr>
        <w:t>2019年全年正常运行，人员增资，运行开支增加。</w:t>
      </w:r>
    </w:p>
    <w:p>
      <w:pPr>
        <w:pStyle w:val="10"/>
        <w:rPr>
          <w:rFonts w:hAnsi="黑体"/>
          <w:b/>
          <w:sz w:val="32"/>
          <w:szCs w:val="32"/>
        </w:rPr>
      </w:pPr>
      <w:r>
        <w:rPr>
          <w:rFonts w:hint="eastAsia" w:hAnsi="黑体"/>
          <w:b/>
          <w:sz w:val="32"/>
          <w:szCs w:val="32"/>
        </w:rPr>
        <w:t>二、收入决算情况说明</w:t>
      </w:r>
    </w:p>
    <w:p>
      <w:pPr>
        <w:pStyle w:val="10"/>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本年收入合计</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万元，其中：财政拨款收入</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%；上级补助收入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%；事业收入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%；经营收入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%；附属单位上缴收入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%；其他收入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w:t>
      </w:r>
    </w:p>
    <w:p>
      <w:pPr>
        <w:pStyle w:val="10"/>
        <w:rPr>
          <w:rFonts w:hAnsi="黑体"/>
          <w:b/>
          <w:sz w:val="32"/>
          <w:szCs w:val="32"/>
        </w:rPr>
      </w:pPr>
      <w:r>
        <w:rPr>
          <w:rFonts w:hint="eastAsia" w:hAnsi="黑体"/>
          <w:b/>
          <w:sz w:val="32"/>
          <w:szCs w:val="32"/>
        </w:rPr>
        <w:t>三、支出决算情况说明</w:t>
      </w:r>
    </w:p>
    <w:p>
      <w:pPr>
        <w:pStyle w:val="10"/>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本年支出合计</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万元，其中：基本支出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%；上缴上级支出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%；经营支出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%；对附属单位补助支出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28"/>
          <w:szCs w:val="28"/>
        </w:rPr>
        <w:t>2019年度财政拨款收、支总计</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万元，与2018年相比，增加</w:t>
      </w:r>
      <w:r>
        <w:rPr>
          <w:rFonts w:hint="eastAsia" w:asciiTheme="minorEastAsia" w:hAnsiTheme="minorEastAsia" w:eastAsiaTheme="minorEastAsia"/>
          <w:sz w:val="28"/>
          <w:szCs w:val="28"/>
          <w:lang w:val="en-US" w:eastAsia="zh-CN"/>
        </w:rPr>
        <w:t>11.59</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15</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w:t>
      </w:r>
      <w:r>
        <w:rPr>
          <w:rFonts w:hint="eastAsia" w:asciiTheme="minorEastAsia" w:hAnsiTheme="minorEastAsia" w:eastAsiaTheme="minorEastAsia"/>
          <w:sz w:val="28"/>
          <w:szCs w:val="28"/>
          <w:lang w:val="en-US" w:eastAsia="zh-CN"/>
        </w:rPr>
        <w:t>2019年全年正常运行，人员增资，运行开支增加。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2019年度财政拨款支出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万元，占本年支出合计的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%，与2018年相比，财政拨款支出增加</w:t>
      </w:r>
      <w:r>
        <w:rPr>
          <w:rFonts w:hint="eastAsia" w:asciiTheme="minorEastAsia" w:hAnsiTheme="minorEastAsia" w:eastAsiaTheme="minorEastAsia"/>
          <w:sz w:val="28"/>
          <w:szCs w:val="28"/>
          <w:lang w:val="en-US" w:eastAsia="zh-CN"/>
        </w:rPr>
        <w:t>11.56</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15</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w:t>
      </w:r>
      <w:r>
        <w:rPr>
          <w:rFonts w:hint="eastAsia" w:asciiTheme="minorEastAsia" w:hAnsiTheme="minorEastAsia" w:eastAsiaTheme="minorEastAsia"/>
          <w:sz w:val="28"/>
          <w:szCs w:val="28"/>
          <w:lang w:val="en-US" w:eastAsia="zh-CN"/>
        </w:rPr>
        <w:t>2019年全年正常运行，人员增资，运行开支增加。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56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28"/>
          <w:szCs w:val="28"/>
        </w:rPr>
        <w:t>2019年度财政拨款支出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万元，主要用于以下方面：一般公共服务</w:t>
      </w:r>
      <w:r>
        <w:rPr>
          <w:rFonts w:hint="eastAsia" w:asciiTheme="minorEastAsia" w:hAnsiTheme="minorEastAsia" w:eastAsiaTheme="minorEastAsia"/>
          <w:sz w:val="28"/>
          <w:szCs w:val="28"/>
          <w:lang w:eastAsia="zh-CN"/>
        </w:rPr>
        <w:t>卫生健康</w:t>
      </w:r>
      <w:r>
        <w:rPr>
          <w:rFonts w:hint="eastAsia" w:asciiTheme="minorEastAsia" w:hAnsiTheme="minorEastAsia" w:eastAsiaTheme="minorEastAsia"/>
          <w:sz w:val="28"/>
          <w:szCs w:val="28"/>
        </w:rPr>
        <w:t>支出</w:t>
      </w:r>
      <w:r>
        <w:rPr>
          <w:rFonts w:hint="eastAsia" w:asciiTheme="minorEastAsia" w:hAnsiTheme="minorEastAsia" w:eastAsiaTheme="minorEastAsia"/>
          <w:sz w:val="28"/>
          <w:szCs w:val="28"/>
          <w:lang w:val="en-US" w:eastAsia="zh-CN"/>
        </w:rPr>
        <w:t>67.55</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90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其他卫生健康</w:t>
      </w:r>
      <w:r>
        <w:rPr>
          <w:rFonts w:hint="eastAsia" w:asciiTheme="minorEastAsia" w:hAnsiTheme="minorEastAsia" w:eastAsiaTheme="minorEastAsia"/>
          <w:sz w:val="28"/>
          <w:szCs w:val="28"/>
        </w:rPr>
        <w:t>支出</w:t>
      </w:r>
      <w:r>
        <w:rPr>
          <w:rFonts w:hint="eastAsia" w:asciiTheme="minorEastAsia" w:hAnsiTheme="minorEastAsia" w:eastAsiaTheme="minorEastAsia"/>
          <w:sz w:val="28"/>
          <w:szCs w:val="28"/>
          <w:lang w:val="en-US" w:eastAsia="zh-CN"/>
        </w:rPr>
        <w:t>6.71</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2019年度财政拨款支出年初预算数为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万元，支出决算数为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%，其中：</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1、一般公共服务</w:t>
      </w:r>
      <w:r>
        <w:rPr>
          <w:rFonts w:hint="eastAsia" w:asciiTheme="minorEastAsia" w:hAnsiTheme="minorEastAsia" w:eastAsiaTheme="minorEastAsia"/>
          <w:sz w:val="28"/>
          <w:szCs w:val="28"/>
          <w:lang w:eastAsia="zh-CN"/>
        </w:rPr>
        <w:t>卫生健康支出</w:t>
      </w:r>
      <w:r>
        <w:rPr>
          <w:rFonts w:hint="eastAsia" w:asciiTheme="minorEastAsia" w:hAnsiTheme="minorEastAsia" w:eastAsiaTheme="minorEastAsia"/>
          <w:sz w:val="28"/>
          <w:szCs w:val="28"/>
        </w:rPr>
        <w:t>。</w:t>
      </w:r>
    </w:p>
    <w:p>
      <w:pPr>
        <w:pStyle w:val="10"/>
        <w:ind w:firstLine="700" w:firstLineChars="25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67.55</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67.55</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2、一般公共服务</w:t>
      </w:r>
      <w:r>
        <w:rPr>
          <w:rFonts w:hint="eastAsia" w:asciiTheme="minorEastAsia" w:hAnsiTheme="minorEastAsia" w:eastAsiaTheme="minorEastAsia"/>
          <w:sz w:val="28"/>
          <w:szCs w:val="28"/>
          <w:lang w:eastAsia="zh-CN"/>
        </w:rPr>
        <w:t>其他卫生健康支出</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hint="eastAsia" w:asciiTheme="minorEastAsia" w:hAnsiTheme="minorEastAsia" w:eastAsiaTheme="minorEastAsia"/>
          <w:sz w:val="28"/>
          <w:szCs w:val="28"/>
          <w:lang w:val="en-US" w:eastAsia="zh-CN"/>
        </w:rPr>
        <w:t>6.71</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6.71</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2019年度财政拨款基本支出</w:t>
      </w:r>
      <w:r>
        <w:rPr>
          <w:rFonts w:hint="eastAsia" w:asciiTheme="minorEastAsia" w:hAnsiTheme="minorEastAsia" w:eastAsiaTheme="minorEastAsia"/>
          <w:sz w:val="28"/>
          <w:szCs w:val="28"/>
          <w:lang w:val="en-US" w:eastAsia="zh-CN"/>
        </w:rPr>
        <w:t>74.26</w:t>
      </w:r>
      <w:r>
        <w:rPr>
          <w:rFonts w:hint="eastAsia" w:asciiTheme="minorEastAsia" w:hAnsiTheme="minorEastAsia" w:eastAsiaTheme="minorEastAsia"/>
          <w:sz w:val="28"/>
          <w:szCs w:val="28"/>
        </w:rPr>
        <w:t>万元，其中：人员经费</w:t>
      </w:r>
      <w:r>
        <w:rPr>
          <w:rFonts w:hint="eastAsia" w:asciiTheme="minorEastAsia" w:hAnsiTheme="minorEastAsia" w:eastAsiaTheme="minorEastAsia"/>
          <w:sz w:val="28"/>
          <w:szCs w:val="28"/>
          <w:lang w:val="en-US" w:eastAsia="zh-CN"/>
        </w:rPr>
        <w:t>65.03</w:t>
      </w:r>
      <w:r>
        <w:rPr>
          <w:rFonts w:hint="eastAsia" w:asciiTheme="minorEastAsia" w:hAnsiTheme="minorEastAsia" w:eastAsiaTheme="minorEastAsia"/>
          <w:sz w:val="28"/>
          <w:szCs w:val="28"/>
        </w:rPr>
        <w:t>万元，占基本支出的</w:t>
      </w:r>
      <w:r>
        <w:rPr>
          <w:rFonts w:hint="eastAsia" w:asciiTheme="minorEastAsia" w:hAnsiTheme="minorEastAsia" w:eastAsiaTheme="minorEastAsia"/>
          <w:sz w:val="28"/>
          <w:szCs w:val="28"/>
          <w:lang w:val="en-US" w:eastAsia="zh-CN"/>
        </w:rPr>
        <w:t>88</w:t>
      </w:r>
      <w:r>
        <w:rPr>
          <w:rFonts w:hint="eastAsia" w:asciiTheme="minorEastAsia" w:hAnsiTheme="minorEastAsia" w:eastAsiaTheme="minorEastAsia"/>
          <w:sz w:val="28"/>
          <w:szCs w:val="28"/>
        </w:rPr>
        <w:t>%,主要包括基本工资、津贴补贴、奖金、伙食补助费</w:t>
      </w:r>
      <w:r>
        <w:rPr>
          <w:rFonts w:hint="eastAsia" w:asciiTheme="minorEastAsia" w:hAnsiTheme="minorEastAsia" w:eastAsiaTheme="minorEastAsia"/>
          <w:sz w:val="28"/>
          <w:szCs w:val="28"/>
          <w:lang w:eastAsia="zh-CN"/>
        </w:rPr>
        <w:t>、绩效工资、职工社会保险金等</w:t>
      </w:r>
      <w:r>
        <w:rPr>
          <w:rFonts w:hint="eastAsia" w:asciiTheme="minorEastAsia" w:hAnsiTheme="minorEastAsia" w:eastAsiaTheme="minorEastAsia"/>
          <w:sz w:val="28"/>
          <w:szCs w:val="28"/>
        </w:rPr>
        <w:t>；公用经费</w:t>
      </w:r>
      <w:r>
        <w:rPr>
          <w:rFonts w:hint="eastAsia" w:asciiTheme="minorEastAsia" w:hAnsiTheme="minorEastAsia" w:eastAsiaTheme="minorEastAsia"/>
          <w:sz w:val="28"/>
          <w:szCs w:val="28"/>
          <w:lang w:val="en-US" w:eastAsia="zh-CN"/>
        </w:rPr>
        <w:t>9.23</w:t>
      </w:r>
      <w:r>
        <w:rPr>
          <w:rFonts w:hint="eastAsia" w:asciiTheme="minorEastAsia" w:hAnsiTheme="minorEastAsia" w:eastAsiaTheme="minorEastAsia"/>
          <w:sz w:val="28"/>
          <w:szCs w:val="28"/>
        </w:rPr>
        <w:t>万元，占基本支出的</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%，主要包括办公费、印刷费、咨询费、手续费</w:t>
      </w:r>
      <w:r>
        <w:rPr>
          <w:rFonts w:hint="eastAsia" w:asciiTheme="minorEastAsia" w:hAnsiTheme="minorEastAsia" w:eastAsiaTheme="minorEastAsia"/>
          <w:sz w:val="28"/>
          <w:szCs w:val="28"/>
          <w:lang w:eastAsia="zh-CN"/>
        </w:rPr>
        <w:t>等</w:t>
      </w:r>
      <w:r>
        <w:rPr>
          <w:rFonts w:hint="eastAsia" w:asciiTheme="minorEastAsia" w:hAnsiTheme="minorEastAsia" w:eastAsiaTheme="minorEastAsia"/>
          <w:sz w:val="28"/>
          <w:szCs w:val="28"/>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“三公”经费财政拨款支出预算为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2019年度“三公”经费财政拨款支出决算中，公务接待费支出决算</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%,因公出国（境）费支出决算</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%,公务用车购置费及运行维护费支出决算</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%。其中：</w:t>
      </w:r>
    </w:p>
    <w:p>
      <w:pPr>
        <w:pStyle w:val="10"/>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1、因公出国（境）费支出决算为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万元，全年安排因公出国（境）团组</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个，累计</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人次,</w:t>
      </w:r>
      <w:r>
        <w:rPr>
          <w:rFonts w:hint="eastAsia" w:asciiTheme="minorEastAsia" w:hAnsiTheme="minorEastAsia" w:eastAsiaTheme="minorEastAsia"/>
          <w:sz w:val="28"/>
          <w:szCs w:val="28"/>
          <w:lang w:eastAsia="zh-CN"/>
        </w:rPr>
        <w:t>。</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2、公务接待费支出决算为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万元，全年共接待来访团组</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个、来宾</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人次。</w:t>
      </w:r>
    </w:p>
    <w:p>
      <w:pPr>
        <w:ind w:firstLine="560" w:firstLineChars="200"/>
        <w:rPr>
          <w:rFonts w:cs="黑体" w:asciiTheme="minorEastAsia" w:hAnsiTheme="minorEastAsia"/>
          <w:color w:val="000000"/>
          <w:kern w:val="0"/>
          <w:sz w:val="28"/>
          <w:szCs w:val="28"/>
        </w:rPr>
      </w:pPr>
      <w:r>
        <w:rPr>
          <w:rFonts w:hint="eastAsia" w:asciiTheme="minorEastAsia" w:hAnsiTheme="minorEastAsia"/>
          <w:sz w:val="28"/>
          <w:szCs w:val="28"/>
        </w:rPr>
        <w:t>3、公务用车购置费及运行维护费支出决算为</w:t>
      </w:r>
      <w:r>
        <w:rPr>
          <w:rFonts w:hint="eastAsia" w:asciiTheme="minorEastAsia" w:hAnsiTheme="minorEastAsia"/>
          <w:sz w:val="28"/>
          <w:szCs w:val="28"/>
          <w:lang w:val="en-US" w:eastAsia="zh-CN"/>
        </w:rPr>
        <w:t>0</w:t>
      </w:r>
      <w:r>
        <w:rPr>
          <w:rFonts w:hint="eastAsia" w:asciiTheme="minorEastAsia" w:hAnsiTheme="minorEastAsia"/>
          <w:sz w:val="28"/>
          <w:szCs w:val="28"/>
        </w:rPr>
        <w:t>万元，其中：公务用车购置费</w:t>
      </w:r>
      <w:r>
        <w:rPr>
          <w:rFonts w:hint="eastAsia" w:asciiTheme="minorEastAsia" w:hAnsiTheme="minorEastAsia"/>
          <w:sz w:val="28"/>
          <w:szCs w:val="28"/>
          <w:lang w:val="en-US" w:eastAsia="zh-CN"/>
        </w:rPr>
        <w:t>0</w:t>
      </w:r>
      <w:r>
        <w:rPr>
          <w:rFonts w:hint="eastAsia" w:asciiTheme="minorEastAsia" w:hAnsiTheme="minorEastAsia"/>
          <w:sz w:val="28"/>
          <w:szCs w:val="28"/>
        </w:rPr>
        <w:t>万元</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sz w:val="28"/>
          <w:szCs w:val="28"/>
        </w:rPr>
        <w:t>公务用车运行维护费</w:t>
      </w:r>
      <w:r>
        <w:rPr>
          <w:rFonts w:hint="eastAsia" w:asciiTheme="minorEastAsia" w:hAnsiTheme="minorEastAsia"/>
          <w:sz w:val="28"/>
          <w:szCs w:val="28"/>
          <w:lang w:val="en-US" w:eastAsia="zh-CN"/>
        </w:rPr>
        <w:t>0</w:t>
      </w:r>
      <w:r>
        <w:rPr>
          <w:rFonts w:hint="eastAsia" w:asciiTheme="minorEastAsia" w:hAnsiTheme="minorEastAsia"/>
          <w:sz w:val="28"/>
          <w:szCs w:val="28"/>
        </w:rPr>
        <w:t>万元，截止2019年12月31日，我单位开支财政拨款的公务用车保有量为</w:t>
      </w:r>
      <w:r>
        <w:rPr>
          <w:rFonts w:hint="eastAsia" w:asciiTheme="minorEastAsia" w:hAnsiTheme="minorEastAsia"/>
          <w:sz w:val="28"/>
          <w:szCs w:val="28"/>
          <w:lang w:val="en-US" w:eastAsia="zh-CN"/>
        </w:rPr>
        <w:t>0</w:t>
      </w:r>
      <w:r>
        <w:rPr>
          <w:rFonts w:hint="eastAsia" w:asciiTheme="minorEastAsia" w:hAnsiTheme="minorEastAsia"/>
          <w:sz w:val="28"/>
          <w:szCs w:val="28"/>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28"/>
          <w:szCs w:val="28"/>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28"/>
          <w:szCs w:val="28"/>
        </w:rPr>
        <w:t>2019年度政府性基金预算财政拨款收入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万元；年初结转和结余</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万元，其中基本支出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万元；年末结转和结余</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w:t>
      </w:r>
    </w:p>
    <w:p>
      <w:pPr>
        <w:pStyle w:val="10"/>
        <w:rPr>
          <w:rFonts w:hAnsi="黑体"/>
          <w:b/>
          <w:sz w:val="32"/>
          <w:szCs w:val="32"/>
        </w:rPr>
      </w:pPr>
      <w:r>
        <w:rPr>
          <w:rFonts w:hint="eastAsia" w:hAnsi="黑体"/>
          <w:b/>
          <w:sz w:val="32"/>
          <w:szCs w:val="32"/>
        </w:rPr>
        <w:t>九、关于2019年度预算绩效情况说明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仿宋_GB2312" w:hAnsi="微软雅黑" w:eastAsia="仿宋_GB2312" w:cs="仿宋_GB2312"/>
          <w:sz w:val="28"/>
          <w:szCs w:val="28"/>
          <w:shd w:val="clear" w:color="auto" w:fill="FFFFFF"/>
        </w:rPr>
      </w:pPr>
      <w:r>
        <w:rPr>
          <w:rFonts w:hint="eastAsia" w:ascii="宋体" w:hAnsi="宋体" w:eastAsia="宋体" w:cs="宋体"/>
          <w:sz w:val="28"/>
          <w:szCs w:val="28"/>
        </w:rPr>
        <w:t>2019年</w:t>
      </w:r>
      <w:r>
        <w:rPr>
          <w:rFonts w:hint="eastAsia" w:ascii="宋体" w:hAnsi="宋体" w:eastAsia="宋体" w:cs="宋体"/>
          <w:sz w:val="28"/>
          <w:szCs w:val="28"/>
          <w:lang w:eastAsia="zh-CN"/>
        </w:rPr>
        <w:t>我</w:t>
      </w:r>
      <w:r>
        <w:rPr>
          <w:rFonts w:hint="eastAsia" w:ascii="宋体" w:hAnsi="宋体" w:eastAsia="宋体" w:cs="宋体"/>
          <w:sz w:val="28"/>
          <w:szCs w:val="28"/>
        </w:rPr>
        <w:t>部门预算绩效目标</w:t>
      </w:r>
      <w:r>
        <w:rPr>
          <w:rFonts w:hint="eastAsia" w:ascii="宋体" w:hAnsi="宋体" w:eastAsia="宋体" w:cs="宋体"/>
          <w:sz w:val="28"/>
          <w:szCs w:val="28"/>
          <w:lang w:eastAsia="zh-CN"/>
        </w:rPr>
        <w:t>暂时没有</w:t>
      </w:r>
      <w:r>
        <w:rPr>
          <w:rFonts w:hint="eastAsia" w:ascii="宋体" w:hAnsi="宋体" w:eastAsia="宋体" w:cs="宋体"/>
          <w:sz w:val="28"/>
          <w:szCs w:val="28"/>
        </w:rPr>
        <w:t>，</w:t>
      </w:r>
      <w:r>
        <w:rPr>
          <w:rFonts w:hint="eastAsia" w:ascii="宋体" w:hAnsi="宋体" w:eastAsia="宋体" w:cs="宋体"/>
          <w:sz w:val="28"/>
          <w:szCs w:val="28"/>
          <w:lang w:eastAsia="zh-CN"/>
        </w:rPr>
        <w:t>其中</w:t>
      </w:r>
      <w:r>
        <w:rPr>
          <w:rFonts w:hint="eastAsia" w:ascii="宋体" w:hAnsi="宋体" w:eastAsia="宋体" w:cs="宋体"/>
          <w:sz w:val="28"/>
          <w:szCs w:val="28"/>
        </w:rPr>
        <w:t>部门整体支出绩效目标涉及一般公共预算当年拨款</w:t>
      </w:r>
      <w:r>
        <w:rPr>
          <w:rFonts w:hint="eastAsia" w:ascii="宋体" w:hAnsi="宋体" w:eastAsia="宋体" w:cs="宋体"/>
          <w:sz w:val="28"/>
          <w:szCs w:val="28"/>
          <w:lang w:val="en-US" w:eastAsia="zh-CN"/>
        </w:rPr>
        <w:t>0</w:t>
      </w:r>
      <w:r>
        <w:rPr>
          <w:rFonts w:hint="eastAsia" w:ascii="宋体" w:hAnsi="宋体" w:eastAsia="宋体" w:cs="宋体"/>
          <w:sz w:val="28"/>
          <w:szCs w:val="28"/>
        </w:rPr>
        <w:t>万元；部门项目支出绩效目标申报</w:t>
      </w:r>
      <w:r>
        <w:rPr>
          <w:rFonts w:hint="eastAsia" w:ascii="宋体" w:hAnsi="宋体" w:eastAsia="宋体" w:cs="宋体"/>
          <w:sz w:val="28"/>
          <w:szCs w:val="28"/>
          <w:lang w:val="en-US" w:eastAsia="zh-CN"/>
        </w:rPr>
        <w:t>0</w:t>
      </w:r>
      <w:r>
        <w:rPr>
          <w:rFonts w:hint="eastAsia" w:ascii="宋体" w:hAnsi="宋体" w:eastAsia="宋体" w:cs="宋体"/>
          <w:sz w:val="28"/>
          <w:szCs w:val="28"/>
        </w:rPr>
        <w:t>个，涉及一般公共预算当年拨款</w:t>
      </w:r>
      <w:r>
        <w:rPr>
          <w:rFonts w:hint="eastAsia" w:ascii="宋体" w:hAnsi="宋体" w:eastAsia="宋体" w:cs="宋体"/>
          <w:sz w:val="28"/>
          <w:szCs w:val="28"/>
          <w:lang w:val="en-US" w:eastAsia="zh-CN"/>
        </w:rPr>
        <w:t>0</w:t>
      </w:r>
      <w:r>
        <w:rPr>
          <w:rFonts w:hint="eastAsia" w:ascii="宋体" w:hAnsi="宋体" w:eastAsia="宋体" w:cs="宋体"/>
          <w:sz w:val="28"/>
          <w:szCs w:val="28"/>
        </w:rPr>
        <w:t>万元。</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sz w:val="28"/>
          <w:szCs w:val="28"/>
          <w:lang w:eastAsia="zh-CN"/>
        </w:rPr>
        <w:t>本</w:t>
      </w:r>
      <w:r>
        <w:rPr>
          <w:rFonts w:hint="eastAsia" w:ascii="宋体" w:hAnsi="宋体" w:eastAsia="宋体" w:cs="宋体"/>
          <w:color w:val="000000"/>
          <w:kern w:val="0"/>
          <w:sz w:val="28"/>
          <w:szCs w:val="28"/>
        </w:rPr>
        <w:t>部门2019 年度机关运行经费支出</w:t>
      </w:r>
      <w:r>
        <w:rPr>
          <w:rFonts w:hint="eastAsia" w:ascii="宋体" w:hAnsi="宋体" w:eastAsia="宋体" w:cs="宋体"/>
          <w:color w:val="000000"/>
          <w:kern w:val="0"/>
          <w:sz w:val="28"/>
          <w:szCs w:val="28"/>
          <w:lang w:val="en-US" w:eastAsia="zh-CN"/>
        </w:rPr>
        <w:t>74.26</w:t>
      </w:r>
      <w:r>
        <w:rPr>
          <w:rFonts w:hint="eastAsia" w:ascii="宋体" w:hAnsi="宋体" w:eastAsia="宋体" w:cs="宋体"/>
          <w:color w:val="000000"/>
          <w:kern w:val="0"/>
          <w:sz w:val="28"/>
          <w:szCs w:val="28"/>
        </w:rPr>
        <w:t>万元，比年初预算数增加</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万元</w:t>
      </w:r>
      <w:r>
        <w:rPr>
          <w:rFonts w:hint="eastAsia" w:ascii="宋体" w:hAnsi="宋体" w:eastAsia="宋体" w:cs="宋体"/>
          <w:color w:val="000000"/>
          <w:kern w:val="0"/>
          <w:sz w:val="28"/>
          <w:szCs w:val="28"/>
          <w:lang w:val="en-US"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（二）政府采购支出情况</w:t>
      </w:r>
    </w:p>
    <w:p>
      <w:pPr>
        <w:ind w:firstLine="560" w:firstLineChars="200"/>
        <w:rPr>
          <w:rFonts w:hint="eastAsia" w:cs="黑体" w:asciiTheme="minorEastAsia" w:hAnsiTheme="minorEastAsia" w:eastAsiaTheme="minorEastAsia"/>
          <w:i/>
          <w:color w:val="FF0000"/>
          <w:kern w:val="0"/>
          <w:sz w:val="28"/>
          <w:szCs w:val="28"/>
          <w:lang w:eastAsia="zh-CN"/>
        </w:rPr>
      </w:pPr>
      <w:r>
        <w:rPr>
          <w:rFonts w:hint="eastAsia" w:cs="黑体" w:asciiTheme="minorEastAsia" w:hAnsiTheme="minorEastAsia"/>
          <w:color w:val="000000"/>
          <w:kern w:val="0"/>
          <w:sz w:val="28"/>
          <w:szCs w:val="28"/>
        </w:rPr>
        <w:t>本部门2019年度政府采购支出总额</w:t>
      </w:r>
      <w:r>
        <w:rPr>
          <w:rFonts w:hint="eastAsia" w:cs="黑体" w:asciiTheme="minorEastAsia" w:hAnsiTheme="minorEastAsia"/>
          <w:color w:val="000000"/>
          <w:kern w:val="0"/>
          <w:sz w:val="28"/>
          <w:szCs w:val="28"/>
          <w:lang w:val="en-US" w:eastAsia="zh-CN"/>
        </w:rPr>
        <w:t>16</w:t>
      </w:r>
      <w:r>
        <w:rPr>
          <w:rFonts w:hint="eastAsia" w:cs="黑体" w:asciiTheme="minorEastAsia" w:hAnsiTheme="minorEastAsia"/>
          <w:color w:val="000000"/>
          <w:kern w:val="0"/>
          <w:sz w:val="28"/>
          <w:szCs w:val="28"/>
        </w:rPr>
        <w:t>万元，其中：政府采购货物支出</w:t>
      </w:r>
      <w:r>
        <w:rPr>
          <w:rFonts w:hint="eastAsia" w:cs="黑体" w:asciiTheme="minorEastAsia" w:hAnsiTheme="minorEastAsia"/>
          <w:color w:val="000000"/>
          <w:kern w:val="0"/>
          <w:sz w:val="28"/>
          <w:szCs w:val="28"/>
          <w:lang w:val="en-US" w:eastAsia="zh-CN"/>
        </w:rPr>
        <w:t>4.9</w:t>
      </w:r>
      <w:r>
        <w:rPr>
          <w:rFonts w:hint="eastAsia" w:cs="黑体" w:asciiTheme="minorEastAsia" w:hAnsiTheme="minorEastAsia"/>
          <w:color w:val="000000"/>
          <w:kern w:val="0"/>
          <w:sz w:val="28"/>
          <w:szCs w:val="28"/>
        </w:rPr>
        <w:t>万元</w:t>
      </w:r>
      <w:r>
        <w:rPr>
          <w:rFonts w:hint="eastAsia" w:cs="黑体" w:asciiTheme="minorEastAsia" w:hAnsiTheme="minorEastAsia"/>
          <w:color w:val="000000"/>
          <w:kern w:val="0"/>
          <w:sz w:val="28"/>
          <w:szCs w:val="28"/>
          <w:lang w:eastAsia="zh-CN"/>
        </w:rPr>
        <w:t>；授予中小企业的合同金额</w:t>
      </w:r>
      <w:r>
        <w:rPr>
          <w:rFonts w:hint="eastAsia" w:cs="黑体" w:asciiTheme="minorEastAsia" w:hAnsiTheme="minorEastAsia"/>
          <w:color w:val="000000"/>
          <w:kern w:val="0"/>
          <w:sz w:val="28"/>
          <w:szCs w:val="28"/>
          <w:lang w:val="en-US" w:eastAsia="zh-CN"/>
        </w:rPr>
        <w:t>16</w:t>
      </w:r>
      <w:r>
        <w:rPr>
          <w:rFonts w:hint="eastAsia" w:cs="黑体" w:asciiTheme="minorEastAsia" w:hAnsiTheme="minorEastAsia"/>
          <w:color w:val="000000"/>
          <w:kern w:val="0"/>
          <w:sz w:val="28"/>
          <w:szCs w:val="28"/>
          <w:lang w:eastAsia="zh-CN"/>
        </w:rPr>
        <w:t>万元，占政府采购支出总金额的比重为100%。</w:t>
      </w:r>
      <w:bookmarkStart w:id="2" w:name="_GoBack"/>
      <w:bookmarkEnd w:id="2"/>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三</w:t>
      </w:r>
      <w:r>
        <w:rPr>
          <w:rFonts w:hint="eastAsia" w:cs="黑体" w:asciiTheme="minorEastAsia" w:hAnsiTheme="minorEastAsia"/>
          <w:b/>
          <w:color w:val="000000"/>
          <w:kern w:val="0"/>
          <w:sz w:val="32"/>
          <w:szCs w:val="32"/>
        </w:rPr>
        <w:t>）国有资产占用情况</w:t>
      </w:r>
    </w:p>
    <w:p>
      <w:pPr>
        <w:ind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截至2019年12月31日，本单位共有车辆</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辆；单位价值50万元以上通用设备</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台（套）；单位价值100万元以上专用设备</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台（套）。</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黑体" w:hAnsi="黑体" w:eastAsia="黑体" w:cs="黑体"/>
          <w:b/>
          <w:color w:val="000000"/>
          <w:kern w:val="0"/>
          <w:sz w:val="72"/>
          <w:szCs w:val="72"/>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黑体" w:hAnsi="黑体" w:eastAsia="黑体" w:cs="黑体"/>
          <w:b/>
          <w:color w:val="000000"/>
          <w:kern w:val="0"/>
          <w:sz w:val="72"/>
          <w:szCs w:val="72"/>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黑体" w:hAnsi="黑体" w:eastAsia="黑体" w:cs="黑体"/>
          <w:b/>
          <w:color w:val="000000"/>
          <w:kern w:val="0"/>
          <w:sz w:val="72"/>
          <w:szCs w:val="72"/>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黑体" w:hAnsi="黑体" w:eastAsia="黑体" w:cs="黑体"/>
          <w:b/>
          <w:color w:val="000000"/>
          <w:kern w:val="0"/>
          <w:sz w:val="72"/>
          <w:szCs w:val="72"/>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黑体" w:hAnsi="黑体" w:eastAsia="黑体" w:cs="黑体"/>
          <w:b w:val="0"/>
          <w:bCs/>
          <w:color w:val="000000"/>
          <w:kern w:val="0"/>
          <w:sz w:val="72"/>
          <w:szCs w:val="72"/>
        </w:rPr>
      </w:pPr>
      <w:r>
        <w:rPr>
          <w:rFonts w:ascii="黑体" w:hAnsi="黑体" w:eastAsia="黑体" w:cs="黑体"/>
          <w:b w:val="0"/>
          <w:bCs/>
          <w:color w:val="000000"/>
          <w:kern w:val="0"/>
          <w:sz w:val="72"/>
          <w:szCs w:val="72"/>
        </w:rPr>
        <w:t>第四部分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100"/>
        <w:jc w:val="left"/>
        <w:textAlignment w:val="auto"/>
        <w:rPr>
          <w:rFonts w:ascii="黑体" w:hAnsi="黑体" w:eastAsia="黑体" w:cs="仿宋_GB2312"/>
          <w:b w:val="0"/>
          <w:bCs/>
          <w:color w:val="000000"/>
          <w:kern w:val="0"/>
          <w:sz w:val="56"/>
          <w:szCs w:val="56"/>
        </w:rPr>
      </w:pPr>
      <w:r>
        <w:rPr>
          <w:rFonts w:ascii="黑体" w:hAnsi="黑体" w:eastAsia="黑体" w:cs="黑体"/>
          <w:b w:val="0"/>
          <w:bCs/>
          <w:color w:val="000000"/>
          <w:kern w:val="0"/>
          <w:sz w:val="56"/>
          <w:szCs w:val="56"/>
        </w:rPr>
        <w:t>名词解释</w:t>
      </w:r>
    </w:p>
    <w:p>
      <w:pPr>
        <w:pStyle w:val="5"/>
        <w:keepNext w:val="0"/>
        <w:keepLines w:val="0"/>
        <w:widowControl/>
        <w:suppressLineNumbers w:val="0"/>
        <w:spacing w:before="300" w:beforeAutospacing="0" w:after="0" w:afterAutospacing="0" w:line="600" w:lineRule="atLeast"/>
        <w:ind w:left="0" w:right="0" w:firstLine="480"/>
        <w:rPr>
          <w:rFonts w:hint="eastAsia" w:ascii="宋体" w:hAnsi="宋体" w:eastAsia="宋体" w:cs="宋体"/>
          <w:sz w:val="28"/>
          <w:szCs w:val="28"/>
        </w:rPr>
      </w:pPr>
      <w:r>
        <w:rPr>
          <w:rFonts w:hint="default" w:ascii="Times New Roman" w:hAnsi="Times New Roman" w:eastAsia="微软雅黑" w:cs="Times New Roman"/>
          <w:sz w:val="31"/>
          <w:szCs w:val="31"/>
          <w:shd w:val="clear" w:color="auto" w:fill="FFFFFF"/>
        </w:rPr>
        <w:t xml:space="preserve"> </w:t>
      </w:r>
      <w:r>
        <w:rPr>
          <w:rFonts w:hint="eastAsia" w:ascii="宋体" w:hAnsi="宋体" w:eastAsia="宋体" w:cs="宋体"/>
          <w:sz w:val="28"/>
          <w:szCs w:val="28"/>
          <w:shd w:val="clear" w:color="auto" w:fill="FFFFFF"/>
        </w:rPr>
        <w:t>如：基本支出：指为保障机构正常运转、完成日常工作任务而发生的各项支出，包括人员支出和公用支出。</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sz w:val="28"/>
          <w:szCs w:val="28"/>
          <w:shd w:val="clear" w:color="auto" w:fill="FFFFFF"/>
        </w:rPr>
        <w:t>项目支出:指在基本支出以外为完成相关行政任务和事业发展目标所发生的各项支出。</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0FF6"/>
    <w:multiLevelType w:val="singleLevel"/>
    <w:tmpl w:val="16650FF6"/>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B8E576B"/>
    <w:rsid w:val="4343415F"/>
    <w:rsid w:val="484409E1"/>
    <w:rsid w:val="580B2C43"/>
    <w:rsid w:val="6E56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0</TotalTime>
  <ScaleCrop>false</ScaleCrop>
  <LinksUpToDate>false</LinksUpToDate>
  <CharactersWithSpaces>8418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2020-11-03T01:36:00Z</cp:lastPrinted>
  <dcterms:modified xsi:type="dcterms:W3CDTF">2021-06-09T02:57:00Z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