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before="210" w:after="210" w:line="640" w:lineRule="atLeast"/>
        <w:jc w:val="center"/>
        <w:rPr>
          <w:rFonts w:ascii="仿宋_GB2312" w:hAnsi="仿宋_GB2312" w:eastAsia="仿宋_GB2312" w:cs="仿宋_GB2312"/>
          <w:b/>
          <w:color w:val="333333"/>
          <w:kern w:val="0"/>
          <w:sz w:val="44"/>
          <w:szCs w:val="44"/>
        </w:rPr>
      </w:pPr>
      <w:r>
        <w:rPr>
          <w:rFonts w:hint="eastAsia" w:ascii="仿宋_GB2312" w:hAnsi="仿宋_GB2312" w:eastAsia="仿宋_GB2312" w:cs="仿宋_GB2312"/>
          <w:b/>
          <w:color w:val="333333"/>
          <w:kern w:val="0"/>
          <w:sz w:val="44"/>
          <w:szCs w:val="44"/>
        </w:rPr>
        <w:t>洞口县统计局</w:t>
      </w:r>
      <w:r>
        <w:rPr>
          <w:rFonts w:ascii="仿宋_GB2312" w:hAnsi="仿宋_GB2312" w:eastAsia="仿宋_GB2312" w:cs="仿宋_GB2312"/>
          <w:b/>
          <w:color w:val="333333"/>
          <w:kern w:val="0"/>
          <w:sz w:val="44"/>
          <w:szCs w:val="44"/>
        </w:rPr>
        <w:t>2019</w:t>
      </w:r>
      <w:r>
        <w:rPr>
          <w:rFonts w:hint="eastAsia" w:ascii="仿宋_GB2312" w:hAnsi="仿宋_GB2312" w:eastAsia="仿宋_GB2312" w:cs="仿宋_GB2312"/>
          <w:b/>
          <w:color w:val="333333"/>
          <w:kern w:val="0"/>
          <w:sz w:val="44"/>
          <w:szCs w:val="44"/>
        </w:rPr>
        <w:t>年度部门决算</w:t>
      </w:r>
    </w:p>
    <w:p>
      <w:pPr>
        <w:rPr>
          <w:rFonts w:ascii="仿宋_GB2312" w:eastAsia="仿宋_GB2312"/>
          <w:sz w:val="32"/>
          <w:szCs w:val="32"/>
        </w:rPr>
      </w:pPr>
      <w:r>
        <w:rPr>
          <w:rFonts w:hint="eastAsia" w:ascii="仿宋_GB2312" w:eastAsia="仿宋_GB2312"/>
          <w:sz w:val="32"/>
          <w:szCs w:val="32"/>
        </w:rPr>
        <w:t>目录</w:t>
      </w:r>
    </w:p>
    <w:p>
      <w:pPr>
        <w:rPr>
          <w:rFonts w:ascii="仿宋_GB2312" w:eastAsia="仿宋_GB2312"/>
          <w:sz w:val="32"/>
          <w:szCs w:val="32"/>
        </w:rPr>
      </w:pPr>
      <w:r>
        <w:rPr>
          <w:rFonts w:hint="eastAsia" w:ascii="仿宋_GB2312" w:eastAsia="仿宋_GB2312"/>
          <w:sz w:val="32"/>
          <w:szCs w:val="32"/>
        </w:rPr>
        <w:t>第一部分</w:t>
      </w:r>
      <w:r>
        <w:rPr>
          <w:rFonts w:eastAsia="仿宋_GB2312"/>
          <w:sz w:val="32"/>
          <w:szCs w:val="32"/>
        </w:rPr>
        <w:t> </w:t>
      </w:r>
      <w:r>
        <w:rPr>
          <w:rFonts w:ascii="仿宋_GB2312" w:eastAsia="仿宋_GB2312"/>
          <w:sz w:val="32"/>
          <w:szCs w:val="32"/>
        </w:rPr>
        <w:t xml:space="preserve"> </w:t>
      </w:r>
      <w:r>
        <w:rPr>
          <w:rFonts w:hint="eastAsia" w:ascii="仿宋_GB2312" w:eastAsia="仿宋_GB2312"/>
          <w:sz w:val="32"/>
          <w:szCs w:val="32"/>
        </w:rPr>
        <w:t>单位概况</w:t>
      </w:r>
    </w:p>
    <w:p>
      <w:pPr>
        <w:rPr>
          <w:rFonts w:ascii="仿宋_GB2312" w:eastAsia="仿宋_GB2312"/>
          <w:sz w:val="32"/>
          <w:szCs w:val="32"/>
        </w:rPr>
      </w:pPr>
      <w:r>
        <w:rPr>
          <w:rFonts w:hint="eastAsia" w:ascii="仿宋_GB2312" w:eastAsia="仿宋_GB2312"/>
          <w:sz w:val="32"/>
          <w:szCs w:val="32"/>
        </w:rPr>
        <w:t>一、部门职责</w:t>
      </w:r>
    </w:p>
    <w:p>
      <w:pPr>
        <w:rPr>
          <w:rFonts w:ascii="仿宋_GB2312" w:eastAsia="仿宋_GB2312"/>
          <w:sz w:val="32"/>
          <w:szCs w:val="32"/>
        </w:rPr>
      </w:pPr>
      <w:r>
        <w:rPr>
          <w:rFonts w:hint="eastAsia" w:ascii="仿宋_GB2312" w:eastAsia="仿宋_GB2312"/>
          <w:sz w:val="32"/>
          <w:szCs w:val="32"/>
        </w:rPr>
        <w:t>二、机构设置</w:t>
      </w:r>
    </w:p>
    <w:p>
      <w:pPr>
        <w:rPr>
          <w:rFonts w:ascii="仿宋_GB2312" w:eastAsia="仿宋_GB2312"/>
          <w:sz w:val="32"/>
          <w:szCs w:val="32"/>
        </w:rPr>
      </w:pPr>
      <w:r>
        <w:rPr>
          <w:rFonts w:hint="eastAsia" w:ascii="仿宋_GB2312" w:eastAsia="仿宋_GB2312"/>
          <w:sz w:val="32"/>
          <w:szCs w:val="32"/>
        </w:rPr>
        <w:t>第二部分</w:t>
      </w:r>
      <w:r>
        <w:rPr>
          <w:rFonts w:eastAsia="仿宋_GB2312"/>
          <w:sz w:val="32"/>
          <w:szCs w:val="32"/>
        </w:rPr>
        <w:t> </w:t>
      </w:r>
      <w:r>
        <w:rPr>
          <w:rFonts w:ascii="仿宋_GB2312" w:eastAsia="仿宋_GB2312"/>
          <w:sz w:val="32"/>
          <w:szCs w:val="32"/>
        </w:rPr>
        <w:t xml:space="preserve"> </w:t>
      </w:r>
      <w:r>
        <w:rPr>
          <w:rFonts w:hint="eastAsia" w:ascii="仿宋_GB2312" w:eastAsia="仿宋_GB2312"/>
          <w:sz w:val="32"/>
          <w:szCs w:val="32"/>
        </w:rPr>
        <w:t>单位</w:t>
      </w:r>
      <w:r>
        <w:rPr>
          <w:rFonts w:ascii="仿宋_GB2312" w:eastAsia="仿宋_GB2312"/>
          <w:sz w:val="32"/>
          <w:szCs w:val="32"/>
        </w:rPr>
        <w:t>2019</w:t>
      </w:r>
      <w:r>
        <w:rPr>
          <w:rFonts w:hint="eastAsia" w:ascii="仿宋_GB2312" w:eastAsia="仿宋_GB2312"/>
          <w:sz w:val="32"/>
          <w:szCs w:val="32"/>
        </w:rPr>
        <w:t>年度部门决算情况说明</w:t>
      </w:r>
    </w:p>
    <w:p>
      <w:pPr>
        <w:rPr>
          <w:rFonts w:ascii="仿宋_GB2312" w:eastAsia="仿宋_GB2312"/>
          <w:sz w:val="32"/>
          <w:szCs w:val="32"/>
        </w:rPr>
      </w:pPr>
      <w:r>
        <w:rPr>
          <w:rFonts w:hint="eastAsia" w:ascii="仿宋_GB2312" w:eastAsia="仿宋_GB2312"/>
          <w:sz w:val="32"/>
          <w:szCs w:val="32"/>
        </w:rPr>
        <w:t>一、收入支出决算总体情况说明</w:t>
      </w:r>
    </w:p>
    <w:p>
      <w:pPr>
        <w:rPr>
          <w:rFonts w:ascii="仿宋_GB2312" w:eastAsia="仿宋_GB2312"/>
          <w:sz w:val="32"/>
          <w:szCs w:val="32"/>
        </w:rPr>
      </w:pPr>
      <w:r>
        <w:rPr>
          <w:rFonts w:hint="eastAsia" w:ascii="仿宋_GB2312" w:eastAsia="仿宋_GB2312"/>
          <w:sz w:val="32"/>
          <w:szCs w:val="32"/>
        </w:rPr>
        <w:t>二、收入决算情况说明</w:t>
      </w:r>
    </w:p>
    <w:p>
      <w:pPr>
        <w:rPr>
          <w:rFonts w:ascii="仿宋_GB2312" w:eastAsia="仿宋_GB2312"/>
          <w:sz w:val="32"/>
          <w:szCs w:val="32"/>
        </w:rPr>
      </w:pPr>
      <w:r>
        <w:rPr>
          <w:rFonts w:hint="eastAsia" w:ascii="仿宋_GB2312" w:eastAsia="仿宋_GB2312"/>
          <w:sz w:val="32"/>
          <w:szCs w:val="32"/>
        </w:rPr>
        <w:t>三、支出决算情况说明</w:t>
      </w:r>
    </w:p>
    <w:p>
      <w:pPr>
        <w:rPr>
          <w:rFonts w:ascii="仿宋_GB2312" w:eastAsia="仿宋_GB2312"/>
          <w:sz w:val="32"/>
          <w:szCs w:val="32"/>
        </w:rPr>
      </w:pPr>
      <w:r>
        <w:rPr>
          <w:rFonts w:hint="eastAsia" w:ascii="仿宋_GB2312" w:eastAsia="仿宋_GB2312"/>
          <w:sz w:val="32"/>
          <w:szCs w:val="32"/>
        </w:rPr>
        <w:t>四、财政拨款收入支出决算总体情况说明</w:t>
      </w:r>
    </w:p>
    <w:p>
      <w:pPr>
        <w:rPr>
          <w:rFonts w:ascii="仿宋_GB2312" w:eastAsia="仿宋_GB2312"/>
          <w:sz w:val="32"/>
          <w:szCs w:val="32"/>
        </w:rPr>
      </w:pPr>
      <w:r>
        <w:rPr>
          <w:rFonts w:hint="eastAsia" w:ascii="仿宋_GB2312" w:eastAsia="仿宋_GB2312"/>
          <w:sz w:val="32"/>
          <w:szCs w:val="32"/>
        </w:rPr>
        <w:t>五、一般公共预算财政拨款支出决算情况说明</w:t>
      </w:r>
    </w:p>
    <w:p>
      <w:pPr>
        <w:rPr>
          <w:rFonts w:ascii="仿宋_GB2312" w:eastAsia="仿宋_GB2312"/>
          <w:sz w:val="32"/>
          <w:szCs w:val="32"/>
        </w:rPr>
      </w:pPr>
      <w:r>
        <w:rPr>
          <w:rFonts w:hint="eastAsia" w:ascii="仿宋_GB2312" w:eastAsia="仿宋_GB2312"/>
          <w:sz w:val="32"/>
          <w:szCs w:val="32"/>
        </w:rPr>
        <w:t>六、一般公共预算财政拨款基本支出决算情况说明</w:t>
      </w:r>
    </w:p>
    <w:p>
      <w:pPr>
        <w:rPr>
          <w:rFonts w:ascii="仿宋_GB2312" w:eastAsia="仿宋_GB2312"/>
          <w:sz w:val="32"/>
          <w:szCs w:val="32"/>
        </w:rPr>
      </w:pPr>
      <w:r>
        <w:rPr>
          <w:rFonts w:hint="eastAsia" w:ascii="仿宋_GB2312" w:eastAsia="仿宋_GB2312"/>
          <w:sz w:val="32"/>
          <w:szCs w:val="32"/>
        </w:rPr>
        <w:t>七、一般公共预算财政拨款“三公”经费支出情况决算情况说明</w:t>
      </w:r>
    </w:p>
    <w:p>
      <w:pPr>
        <w:rPr>
          <w:rFonts w:ascii="仿宋_GB2312" w:eastAsia="仿宋_GB2312"/>
          <w:sz w:val="32"/>
          <w:szCs w:val="32"/>
        </w:rPr>
      </w:pPr>
      <w:r>
        <w:rPr>
          <w:rFonts w:hint="eastAsia" w:ascii="仿宋_GB2312" w:eastAsia="仿宋_GB2312"/>
          <w:sz w:val="32"/>
          <w:szCs w:val="32"/>
        </w:rPr>
        <w:t>八、政府基金收支决算情况说明</w:t>
      </w:r>
    </w:p>
    <w:p>
      <w:pPr>
        <w:rPr>
          <w:rFonts w:ascii="仿宋_GB2312" w:eastAsia="仿宋_GB2312"/>
          <w:sz w:val="32"/>
          <w:szCs w:val="32"/>
        </w:rPr>
      </w:pPr>
      <w:r>
        <w:rPr>
          <w:rFonts w:hint="eastAsia" w:ascii="仿宋_GB2312" w:eastAsia="仿宋_GB2312"/>
          <w:sz w:val="32"/>
          <w:szCs w:val="32"/>
        </w:rPr>
        <w:t>九、预算绩效情况说明</w:t>
      </w:r>
    </w:p>
    <w:p>
      <w:pPr>
        <w:rPr>
          <w:rFonts w:ascii="仿宋_GB2312" w:eastAsia="仿宋_GB2312"/>
          <w:sz w:val="32"/>
          <w:szCs w:val="32"/>
        </w:rPr>
      </w:pPr>
      <w:r>
        <w:rPr>
          <w:rFonts w:hint="eastAsia" w:ascii="仿宋_GB2312" w:eastAsia="仿宋_GB2312"/>
          <w:sz w:val="32"/>
          <w:szCs w:val="32"/>
        </w:rPr>
        <w:t>十、其他重要事项的情况说明</w:t>
      </w:r>
    </w:p>
    <w:p>
      <w:pPr>
        <w:rPr>
          <w:rFonts w:ascii="仿宋_GB2312" w:eastAsia="仿宋_GB2312"/>
          <w:sz w:val="32"/>
          <w:szCs w:val="32"/>
        </w:rPr>
      </w:pPr>
      <w:r>
        <w:rPr>
          <w:rFonts w:hint="eastAsia" w:ascii="仿宋_GB2312" w:eastAsia="仿宋_GB2312"/>
          <w:sz w:val="32"/>
          <w:szCs w:val="32"/>
        </w:rPr>
        <w:t>第三部分</w:t>
      </w:r>
      <w:r>
        <w:rPr>
          <w:rFonts w:eastAsia="仿宋_GB2312"/>
          <w:sz w:val="32"/>
          <w:szCs w:val="32"/>
        </w:rPr>
        <w:t> </w:t>
      </w:r>
      <w:r>
        <w:rPr>
          <w:rFonts w:ascii="仿宋_GB2312" w:eastAsia="仿宋_GB2312"/>
          <w:sz w:val="32"/>
          <w:szCs w:val="32"/>
        </w:rPr>
        <w:t xml:space="preserve"> </w:t>
      </w:r>
      <w:r>
        <w:rPr>
          <w:rFonts w:hint="eastAsia" w:ascii="仿宋_GB2312" w:eastAsia="仿宋_GB2312"/>
          <w:sz w:val="32"/>
          <w:szCs w:val="32"/>
        </w:rPr>
        <w:t>名称解释</w:t>
      </w:r>
    </w:p>
    <w:p>
      <w:pPr>
        <w:rPr>
          <w:rFonts w:ascii="仿宋_GB2312" w:eastAsia="仿宋_GB2312"/>
          <w:sz w:val="32"/>
          <w:szCs w:val="32"/>
        </w:rPr>
      </w:pPr>
      <w:r>
        <w:rPr>
          <w:rFonts w:hint="eastAsia" w:ascii="仿宋_GB2312" w:eastAsia="仿宋_GB2312"/>
          <w:sz w:val="32"/>
          <w:szCs w:val="32"/>
        </w:rPr>
        <w:t>第四部分</w:t>
      </w:r>
      <w:r>
        <w:rPr>
          <w:rFonts w:eastAsia="仿宋_GB2312"/>
          <w:sz w:val="32"/>
          <w:szCs w:val="32"/>
        </w:rPr>
        <w:t> </w:t>
      </w:r>
      <w:r>
        <w:rPr>
          <w:rFonts w:ascii="仿宋_GB2312" w:eastAsia="仿宋_GB2312"/>
          <w:sz w:val="32"/>
          <w:szCs w:val="32"/>
        </w:rPr>
        <w:t xml:space="preserve"> </w:t>
      </w:r>
      <w:r>
        <w:rPr>
          <w:rFonts w:hint="eastAsia" w:ascii="仿宋_GB2312" w:eastAsia="仿宋_GB2312"/>
          <w:sz w:val="32"/>
          <w:szCs w:val="32"/>
        </w:rPr>
        <w:t>附表：本单位</w:t>
      </w:r>
      <w:r>
        <w:rPr>
          <w:rFonts w:ascii="仿宋_GB2312" w:eastAsia="仿宋_GB2312"/>
          <w:sz w:val="32"/>
          <w:szCs w:val="32"/>
        </w:rPr>
        <w:t>2019</w:t>
      </w:r>
      <w:r>
        <w:rPr>
          <w:rFonts w:hint="eastAsia" w:ascii="仿宋_GB2312" w:eastAsia="仿宋_GB2312"/>
          <w:sz w:val="32"/>
          <w:szCs w:val="32"/>
        </w:rPr>
        <w:t>年度部门决算表</w:t>
      </w:r>
    </w:p>
    <w:p>
      <w:pPr>
        <w:rPr>
          <w:rFonts w:ascii="仿宋_GB2312" w:eastAsia="仿宋_GB2312"/>
          <w:sz w:val="32"/>
          <w:szCs w:val="32"/>
        </w:rPr>
      </w:pPr>
      <w:r>
        <w:rPr>
          <w:rFonts w:hint="eastAsia" w:ascii="仿宋_GB2312" w:eastAsia="仿宋_GB2312"/>
          <w:sz w:val="32"/>
          <w:szCs w:val="32"/>
        </w:rPr>
        <w:t>一、收入支出决算总表</w:t>
      </w:r>
    </w:p>
    <w:p>
      <w:pPr>
        <w:rPr>
          <w:rFonts w:ascii="仿宋_GB2312" w:eastAsia="仿宋_GB2312"/>
          <w:sz w:val="32"/>
          <w:szCs w:val="32"/>
        </w:rPr>
      </w:pPr>
      <w:r>
        <w:rPr>
          <w:rFonts w:hint="eastAsia" w:ascii="仿宋_GB2312" w:eastAsia="仿宋_GB2312"/>
          <w:sz w:val="32"/>
          <w:szCs w:val="32"/>
        </w:rPr>
        <w:t>二、收入决算表</w:t>
      </w:r>
    </w:p>
    <w:p>
      <w:pPr>
        <w:rPr>
          <w:rFonts w:ascii="仿宋_GB2312" w:eastAsia="仿宋_GB2312"/>
          <w:sz w:val="32"/>
          <w:szCs w:val="32"/>
        </w:rPr>
      </w:pPr>
      <w:r>
        <w:rPr>
          <w:rFonts w:hint="eastAsia" w:ascii="仿宋_GB2312" w:eastAsia="仿宋_GB2312"/>
          <w:sz w:val="32"/>
          <w:szCs w:val="32"/>
        </w:rPr>
        <w:t>三、支出决算表</w:t>
      </w:r>
    </w:p>
    <w:p>
      <w:pPr>
        <w:rPr>
          <w:rFonts w:ascii="仿宋_GB2312" w:eastAsia="仿宋_GB2312"/>
          <w:sz w:val="32"/>
          <w:szCs w:val="32"/>
        </w:rPr>
      </w:pPr>
      <w:r>
        <w:rPr>
          <w:rFonts w:hint="eastAsia" w:ascii="仿宋_GB2312" w:eastAsia="仿宋_GB2312"/>
          <w:sz w:val="32"/>
          <w:szCs w:val="32"/>
        </w:rPr>
        <w:t>四、财政拨款收入支出决算总表</w:t>
      </w:r>
    </w:p>
    <w:p>
      <w:pPr>
        <w:rPr>
          <w:rFonts w:ascii="仿宋_GB2312" w:eastAsia="仿宋_GB2312"/>
          <w:sz w:val="32"/>
          <w:szCs w:val="32"/>
        </w:rPr>
      </w:pPr>
      <w:r>
        <w:rPr>
          <w:rFonts w:hint="eastAsia" w:ascii="仿宋_GB2312" w:eastAsia="仿宋_GB2312"/>
          <w:sz w:val="32"/>
          <w:szCs w:val="32"/>
        </w:rPr>
        <w:t>五、一般公共预算财政拨款支出决算表</w:t>
      </w:r>
    </w:p>
    <w:p>
      <w:pPr>
        <w:rPr>
          <w:rFonts w:ascii="仿宋_GB2312" w:eastAsia="仿宋_GB2312"/>
          <w:sz w:val="32"/>
          <w:szCs w:val="32"/>
        </w:rPr>
      </w:pPr>
      <w:r>
        <w:rPr>
          <w:rFonts w:hint="eastAsia" w:ascii="仿宋_GB2312" w:eastAsia="仿宋_GB2312"/>
          <w:sz w:val="32"/>
          <w:szCs w:val="32"/>
        </w:rPr>
        <w:t>六、一般公共预算财政拨款基本支出决算表</w:t>
      </w:r>
    </w:p>
    <w:p>
      <w:pPr>
        <w:rPr>
          <w:rFonts w:ascii="仿宋_GB2312" w:eastAsia="仿宋_GB2312"/>
          <w:sz w:val="32"/>
          <w:szCs w:val="32"/>
        </w:rPr>
      </w:pPr>
      <w:r>
        <w:rPr>
          <w:rFonts w:hint="eastAsia" w:ascii="仿宋_GB2312" w:eastAsia="仿宋_GB2312"/>
          <w:sz w:val="32"/>
          <w:szCs w:val="32"/>
        </w:rPr>
        <w:t>七、一般公共预算财政拨款“三公”经费支出决算表</w:t>
      </w:r>
    </w:p>
    <w:p>
      <w:pPr>
        <w:rPr>
          <w:rFonts w:ascii="仿宋_GB2312" w:eastAsia="仿宋_GB2312"/>
          <w:sz w:val="32"/>
          <w:szCs w:val="32"/>
        </w:rPr>
      </w:pPr>
      <w:r>
        <w:rPr>
          <w:rFonts w:hint="eastAsia" w:ascii="仿宋_GB2312" w:eastAsia="仿宋_GB2312"/>
          <w:sz w:val="32"/>
          <w:szCs w:val="32"/>
        </w:rPr>
        <w:t>八、政府性基金预算财政拨款收入支出决算表</w:t>
      </w:r>
    </w:p>
    <w:p>
      <w:pPr>
        <w:widowControl/>
        <w:spacing w:before="210" w:after="210" w:line="640" w:lineRule="atLeast"/>
        <w:jc w:val="center"/>
        <w:rPr>
          <w:rFonts w:ascii="仿宋_GB2312" w:hAnsi="仿宋_GB2312" w:eastAsia="仿宋_GB2312" w:cs="仿宋_GB2312"/>
          <w:b/>
          <w:color w:val="333333"/>
          <w:kern w:val="0"/>
          <w:sz w:val="44"/>
          <w:szCs w:val="44"/>
        </w:rPr>
      </w:pPr>
    </w:p>
    <w:p>
      <w:pPr>
        <w:rPr>
          <w:sz w:val="30"/>
          <w:szCs w:val="30"/>
        </w:rPr>
      </w:pPr>
      <w:r>
        <w:rPr>
          <w:rFonts w:hint="eastAsia"/>
          <w:sz w:val="30"/>
          <w:szCs w:val="30"/>
        </w:rPr>
        <w:t>第一部分</w:t>
      </w:r>
      <w:r>
        <w:rPr>
          <w:sz w:val="30"/>
          <w:szCs w:val="30"/>
        </w:rPr>
        <w:t xml:space="preserve">  </w:t>
      </w:r>
      <w:r>
        <w:rPr>
          <w:rFonts w:hint="eastAsia"/>
          <w:sz w:val="30"/>
          <w:szCs w:val="30"/>
        </w:rPr>
        <w:t>单位概况</w:t>
      </w:r>
    </w:p>
    <w:p>
      <w:pPr>
        <w:pStyle w:val="4"/>
        <w:widowControl/>
        <w:wordWrap w:val="0"/>
        <w:spacing w:before="210" w:beforeAutospacing="0" w:after="210" w:afterAutospacing="0" w:line="420" w:lineRule="atLeast"/>
        <w:jc w:val="both"/>
        <w:rPr>
          <w:rFonts w:ascii="仿宋_GB2312" w:hAnsi="仿宋_GB2312" w:eastAsia="仿宋_GB2312" w:cs="仿宋_GB2312"/>
          <w:b/>
          <w:bCs/>
          <w:color w:val="333333"/>
          <w:sz w:val="32"/>
          <w:szCs w:val="32"/>
        </w:rPr>
      </w:pPr>
      <w:r>
        <w:rPr>
          <w:rFonts w:hint="eastAsia"/>
          <w:sz w:val="32"/>
          <w:szCs w:val="32"/>
        </w:rPr>
        <w:t>一、部门职能职责：</w:t>
      </w:r>
    </w:p>
    <w:p>
      <w:pPr>
        <w:rPr>
          <w:rFonts w:ascii="仿宋_GB2312" w:eastAsia="仿宋_GB2312"/>
          <w:sz w:val="30"/>
          <w:szCs w:val="30"/>
        </w:rPr>
      </w:pPr>
      <w:r>
        <w:rPr>
          <w:rFonts w:hint="eastAsia" w:ascii="仿宋_GB2312" w:eastAsia="仿宋_GB2312" w:cs="宋体"/>
          <w:kern w:val="0"/>
          <w:sz w:val="32"/>
          <w:szCs w:val="32"/>
        </w:rPr>
        <w:t>洞口县统计局主管全县和国民经济核算工作的县人民政府直属机构。主要职责是：</w:t>
      </w:r>
      <w:r>
        <w:rPr>
          <w:rFonts w:ascii="仿宋_GB2312" w:eastAsia="仿宋_GB2312" w:cs="宋体"/>
          <w:kern w:val="0"/>
          <w:sz w:val="32"/>
          <w:szCs w:val="32"/>
        </w:rPr>
        <w:t>1</w:t>
      </w:r>
      <w:r>
        <w:rPr>
          <w:rFonts w:hint="eastAsia" w:ascii="仿宋_GB2312" w:hAnsi="宋体" w:eastAsia="仿宋_GB2312" w:cs="宋体"/>
          <w:kern w:val="0"/>
          <w:sz w:val="32"/>
          <w:szCs w:val="32"/>
        </w:rPr>
        <w:t>、</w:t>
      </w:r>
      <w:r>
        <w:rPr>
          <w:rFonts w:hint="eastAsia" w:ascii="仿宋_GB2312" w:eastAsia="仿宋_GB2312" w:cs="宋体"/>
          <w:kern w:val="0"/>
          <w:sz w:val="32"/>
          <w:szCs w:val="32"/>
        </w:rPr>
        <w:t>贯彻执行国家统计法律法规，监督检查统计法规的执行情况，维护各级统计机构和统计工作者的合法权利，查处各类统计违法行为。</w:t>
      </w:r>
      <w:r>
        <w:rPr>
          <w:rFonts w:ascii="楷体_GB2312" w:eastAsia="楷体_GB2312"/>
          <w:b/>
          <w:sz w:val="32"/>
          <w:szCs w:val="32"/>
        </w:rPr>
        <w:t>2</w:t>
      </w:r>
      <w:r>
        <w:rPr>
          <w:rFonts w:hint="eastAsia" w:ascii="楷体_GB2312" w:eastAsia="楷体_GB2312"/>
          <w:b/>
          <w:sz w:val="32"/>
          <w:szCs w:val="32"/>
        </w:rPr>
        <w:t>、</w:t>
      </w:r>
      <w:r>
        <w:rPr>
          <w:rFonts w:hint="eastAsia" w:ascii="仿宋_GB2312" w:hAnsi="宋体" w:eastAsia="仿宋_GB2312" w:cs="宋体"/>
          <w:kern w:val="0"/>
          <w:sz w:val="32"/>
          <w:szCs w:val="32"/>
        </w:rPr>
        <w:t>制</w:t>
      </w:r>
      <w:r>
        <w:rPr>
          <w:rFonts w:hint="eastAsia" w:ascii="仿宋_GB2312" w:eastAsia="仿宋_GB2312" w:cs="宋体"/>
          <w:kern w:val="0"/>
          <w:sz w:val="32"/>
          <w:szCs w:val="32"/>
        </w:rPr>
        <w:t>订并组织实施全县统计工作规划，执行省、市统一的基本报表制度和统计标准，领导和协调各乡镇、各部门的统计业务工作，组织全县性的有关普查和专项调查，审核县直属各部门的统计调查计划及其调查方案建立健全国家经济核算体系和统计指标体系。</w:t>
      </w:r>
      <w:r>
        <w:rPr>
          <w:rFonts w:ascii="仿宋_GB2312" w:hAnsi="宋体" w:eastAsia="仿宋_GB2312" w:cs="宋体"/>
          <w:kern w:val="0"/>
          <w:sz w:val="32"/>
          <w:szCs w:val="32"/>
        </w:rPr>
        <w:t>3</w:t>
      </w:r>
      <w:r>
        <w:rPr>
          <w:rFonts w:hint="eastAsia" w:ascii="仿宋_GB2312" w:hAnsi="宋体" w:eastAsia="仿宋_GB2312" w:cs="宋体"/>
          <w:kern w:val="0"/>
          <w:sz w:val="32"/>
          <w:szCs w:val="32"/>
        </w:rPr>
        <w:t>、</w:t>
      </w:r>
      <w:r>
        <w:rPr>
          <w:rFonts w:hint="eastAsia" w:ascii="仿宋_GB2312" w:eastAsia="仿宋_GB2312" w:cs="宋体"/>
          <w:kern w:val="0"/>
          <w:sz w:val="32"/>
          <w:szCs w:val="32"/>
        </w:rPr>
        <w:t>为县委、县人民政府编制国民经济和社会发展规划提供统计资料，并对全县国民经济运行情况进行统计检查、统计分析、统计预测和统计监督，向县委、县人民政府及其有关部门提供决策咨询服务。</w:t>
      </w:r>
      <w:r>
        <w:rPr>
          <w:rFonts w:ascii="仿宋_GB2312" w:hAnsi="宋体" w:eastAsia="仿宋_GB2312" w:cs="宋体"/>
          <w:kern w:val="0"/>
          <w:sz w:val="32"/>
          <w:szCs w:val="32"/>
        </w:rPr>
        <w:t>4</w:t>
      </w:r>
      <w:r>
        <w:rPr>
          <w:rFonts w:hint="eastAsia" w:ascii="仿宋_GB2312" w:hAnsi="宋体" w:eastAsia="仿宋_GB2312" w:cs="宋体"/>
          <w:kern w:val="0"/>
          <w:sz w:val="32"/>
          <w:szCs w:val="32"/>
        </w:rPr>
        <w:t>、</w:t>
      </w:r>
      <w:r>
        <w:rPr>
          <w:rFonts w:hint="eastAsia" w:ascii="仿宋_GB2312" w:eastAsia="仿宋_GB2312" w:cs="宋体"/>
          <w:kern w:val="0"/>
          <w:sz w:val="32"/>
          <w:szCs w:val="32"/>
        </w:rPr>
        <w:t>统一核定、管理、提供全县经济、社会、科技的基本统计资料，定期发布全县国民经济和社会发展情况统计公报以及有关普查和专项调查公报。</w:t>
      </w:r>
      <w:r>
        <w:rPr>
          <w:rFonts w:ascii="仿宋_GB2312" w:hAnsi="宋体" w:eastAsia="仿宋_GB2312" w:cs="宋体"/>
          <w:kern w:val="0"/>
          <w:sz w:val="32"/>
          <w:szCs w:val="32"/>
        </w:rPr>
        <w:t>5</w:t>
      </w:r>
      <w:r>
        <w:rPr>
          <w:rFonts w:hint="eastAsia" w:ascii="仿宋_GB2312" w:hAnsi="宋体" w:eastAsia="仿宋_GB2312" w:cs="宋体"/>
          <w:kern w:val="0"/>
          <w:sz w:val="32"/>
          <w:szCs w:val="32"/>
        </w:rPr>
        <w:t>、</w:t>
      </w:r>
      <w:r>
        <w:rPr>
          <w:rFonts w:hint="eastAsia" w:ascii="仿宋_GB2312" w:eastAsia="仿宋_GB2312" w:cs="宋体"/>
          <w:kern w:val="0"/>
          <w:sz w:val="32"/>
          <w:szCs w:val="32"/>
        </w:rPr>
        <w:t>管理县人民政府经济信息中心，不断加强其信息现代化系统建设；坚持经常采集县域经济信息并制作上网，定期发布经济信息资料，为领导决策及社会各界投资发展经济提供及时有效的信息服务。</w:t>
      </w:r>
      <w:r>
        <w:rPr>
          <w:rFonts w:ascii="仿宋_GB2312" w:hAnsi="宋体" w:eastAsia="仿宋_GB2312" w:cs="宋体"/>
          <w:kern w:val="0"/>
          <w:sz w:val="32"/>
          <w:szCs w:val="32"/>
        </w:rPr>
        <w:t>6</w:t>
      </w:r>
      <w:r>
        <w:rPr>
          <w:rFonts w:hint="eastAsia" w:ascii="仿宋_GB2312" w:hAnsi="宋体" w:eastAsia="仿宋_GB2312" w:cs="宋体"/>
          <w:kern w:val="0"/>
          <w:sz w:val="32"/>
          <w:szCs w:val="32"/>
        </w:rPr>
        <w:t>、</w:t>
      </w:r>
      <w:r>
        <w:rPr>
          <w:rFonts w:hint="eastAsia" w:ascii="仿宋_GB2312" w:eastAsia="仿宋_GB2312" w:cs="宋体"/>
          <w:kern w:val="0"/>
          <w:sz w:val="32"/>
          <w:szCs w:val="32"/>
        </w:rPr>
        <w:t>根据县委、县人民政府和国家、省、市统计局的要求，紧密配合经济和政治体制</w:t>
      </w:r>
    </w:p>
    <w:p>
      <w:pPr>
        <w:ind w:firstLine="450" w:firstLineChars="150"/>
        <w:rPr>
          <w:sz w:val="30"/>
          <w:szCs w:val="30"/>
        </w:rPr>
      </w:pPr>
      <w:r>
        <w:rPr>
          <w:rFonts w:hint="eastAsia"/>
          <w:sz w:val="30"/>
          <w:szCs w:val="30"/>
        </w:rPr>
        <w:t>二、机构设置及决算单位构成</w:t>
      </w:r>
    </w:p>
    <w:p>
      <w:pPr>
        <w:ind w:firstLine="480" w:firstLineChars="150"/>
        <w:rPr>
          <w:rFonts w:ascii="仿宋_GB2312" w:eastAsia="仿宋_GB2312"/>
          <w:sz w:val="32"/>
          <w:szCs w:val="32"/>
        </w:rPr>
      </w:pPr>
      <w:r>
        <w:rPr>
          <w:sz w:val="32"/>
          <w:szCs w:val="32"/>
        </w:rPr>
        <w:t>1</w:t>
      </w:r>
      <w:r>
        <w:rPr>
          <w:rFonts w:hint="eastAsia"/>
          <w:sz w:val="32"/>
          <w:szCs w:val="32"/>
        </w:rPr>
        <w:t>、</w:t>
      </w:r>
      <w:r>
        <w:rPr>
          <w:rFonts w:hint="eastAsia" w:ascii="仿宋_GB2312" w:eastAsia="仿宋_GB2312"/>
          <w:sz w:val="32"/>
          <w:szCs w:val="32"/>
        </w:rPr>
        <w:t>洞口县统计局机关下设：办公室，综合股，普查股，法规股四个股室，行政编制人数</w:t>
      </w:r>
      <w:r>
        <w:rPr>
          <w:rFonts w:ascii="仿宋_GB2312" w:eastAsia="仿宋_GB2312"/>
          <w:sz w:val="32"/>
          <w:szCs w:val="32"/>
        </w:rPr>
        <w:t xml:space="preserve"> 7</w:t>
      </w:r>
      <w:r>
        <w:rPr>
          <w:rFonts w:hint="eastAsia" w:ascii="仿宋_GB2312" w:eastAsia="仿宋_GB2312"/>
          <w:sz w:val="32"/>
          <w:szCs w:val="32"/>
        </w:rPr>
        <w:t>人，事业编制人数</w:t>
      </w:r>
      <w:r>
        <w:rPr>
          <w:rFonts w:ascii="仿宋_GB2312" w:eastAsia="仿宋_GB2312"/>
          <w:sz w:val="32"/>
          <w:szCs w:val="32"/>
        </w:rPr>
        <w:t xml:space="preserve"> 4</w:t>
      </w:r>
      <w:r>
        <w:rPr>
          <w:rFonts w:hint="eastAsia" w:ascii="仿宋_GB2312" w:eastAsia="仿宋_GB2312"/>
          <w:sz w:val="32"/>
          <w:szCs w:val="32"/>
        </w:rPr>
        <w:t>人</w:t>
      </w:r>
      <w:r>
        <w:rPr>
          <w:rFonts w:ascii="仿宋_GB2312" w:eastAsia="仿宋_GB2312"/>
          <w:sz w:val="32"/>
          <w:szCs w:val="32"/>
        </w:rPr>
        <w:t>,</w:t>
      </w:r>
      <w:r>
        <w:rPr>
          <w:rFonts w:hint="eastAsia" w:ascii="仿宋_GB2312" w:eastAsia="仿宋_GB2312"/>
          <w:sz w:val="32"/>
          <w:szCs w:val="32"/>
        </w:rPr>
        <w:t>工勤编制</w:t>
      </w:r>
      <w:r>
        <w:rPr>
          <w:rFonts w:ascii="仿宋_GB2312" w:eastAsia="仿宋_GB2312"/>
          <w:sz w:val="32"/>
          <w:szCs w:val="32"/>
        </w:rPr>
        <w:t xml:space="preserve"> 1</w:t>
      </w:r>
      <w:r>
        <w:rPr>
          <w:rFonts w:hint="eastAsia" w:ascii="仿宋_GB2312" w:eastAsia="仿宋_GB2312"/>
          <w:sz w:val="32"/>
          <w:szCs w:val="32"/>
        </w:rPr>
        <w:t>人。实有人数</w:t>
      </w:r>
      <w:r>
        <w:rPr>
          <w:rFonts w:ascii="仿宋_GB2312" w:eastAsia="仿宋_GB2312"/>
          <w:sz w:val="32"/>
          <w:szCs w:val="32"/>
        </w:rPr>
        <w:t>26</w:t>
      </w:r>
      <w:r>
        <w:rPr>
          <w:rFonts w:hint="eastAsia" w:ascii="仿宋_GB2312" w:eastAsia="仿宋_GB2312"/>
          <w:sz w:val="32"/>
          <w:szCs w:val="32"/>
        </w:rPr>
        <w:t>人，其中在职</w:t>
      </w:r>
      <w:r>
        <w:rPr>
          <w:rFonts w:ascii="仿宋_GB2312" w:eastAsia="仿宋_GB2312"/>
          <w:sz w:val="32"/>
          <w:szCs w:val="32"/>
        </w:rPr>
        <w:t xml:space="preserve"> 23 </w:t>
      </w:r>
      <w:r>
        <w:rPr>
          <w:rFonts w:hint="eastAsia" w:ascii="仿宋_GB2312" w:eastAsia="仿宋_GB2312"/>
          <w:sz w:val="32"/>
          <w:szCs w:val="32"/>
        </w:rPr>
        <w:t>人，退休</w:t>
      </w:r>
      <w:r>
        <w:rPr>
          <w:rFonts w:ascii="仿宋_GB2312" w:eastAsia="仿宋_GB2312"/>
          <w:sz w:val="32"/>
          <w:szCs w:val="32"/>
        </w:rPr>
        <w:t xml:space="preserve">3 </w:t>
      </w:r>
      <w:r>
        <w:rPr>
          <w:rFonts w:hint="eastAsia" w:ascii="仿宋_GB2312" w:eastAsia="仿宋_GB2312"/>
          <w:sz w:val="32"/>
          <w:szCs w:val="32"/>
        </w:rPr>
        <w:t>人。</w:t>
      </w:r>
    </w:p>
    <w:p>
      <w:pPr>
        <w:pStyle w:val="4"/>
        <w:spacing w:beforeAutospacing="0" w:afterAutospacing="0" w:line="360" w:lineRule="auto"/>
        <w:ind w:firstLine="480" w:firstLineChars="150"/>
        <w:jc w:val="both"/>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、统计局只有本级，没有其他二级预算单位，因此，纳入</w:t>
      </w:r>
      <w:r>
        <w:rPr>
          <w:rFonts w:ascii="仿宋_GB2312" w:eastAsia="仿宋_GB2312"/>
          <w:sz w:val="32"/>
          <w:szCs w:val="32"/>
        </w:rPr>
        <w:t>2020</w:t>
      </w:r>
      <w:r>
        <w:rPr>
          <w:rFonts w:hint="eastAsia" w:ascii="仿宋_GB2312" w:eastAsia="仿宋_GB2312"/>
          <w:sz w:val="32"/>
          <w:szCs w:val="32"/>
        </w:rPr>
        <w:t>年部门预算编制范围的只有统计局本级。</w:t>
      </w:r>
    </w:p>
    <w:p>
      <w:pPr>
        <w:ind w:firstLine="450" w:firstLineChars="150"/>
        <w:rPr>
          <w:sz w:val="30"/>
          <w:szCs w:val="30"/>
        </w:rPr>
      </w:pPr>
      <w:r>
        <w:rPr>
          <w:rFonts w:hint="eastAsia"/>
          <w:sz w:val="30"/>
          <w:szCs w:val="30"/>
        </w:rPr>
        <w:t>第二部分</w:t>
      </w:r>
      <w:r>
        <w:rPr>
          <w:sz w:val="30"/>
          <w:szCs w:val="30"/>
        </w:rPr>
        <w:t xml:space="preserve">  </w:t>
      </w:r>
      <w:r>
        <w:rPr>
          <w:rFonts w:hint="eastAsia"/>
          <w:sz w:val="30"/>
          <w:szCs w:val="30"/>
        </w:rPr>
        <w:t>本单位</w:t>
      </w:r>
      <w:r>
        <w:rPr>
          <w:sz w:val="30"/>
          <w:szCs w:val="30"/>
        </w:rPr>
        <w:t>2019</w:t>
      </w:r>
      <w:r>
        <w:rPr>
          <w:rFonts w:hint="eastAsia"/>
          <w:sz w:val="30"/>
          <w:szCs w:val="30"/>
        </w:rPr>
        <w:t>年度部门决算情况说明</w:t>
      </w:r>
    </w:p>
    <w:p>
      <w:pPr>
        <w:ind w:firstLine="480" w:firstLineChars="150"/>
        <w:rPr>
          <w:rFonts w:ascii="仿宋_GB2312" w:eastAsia="仿宋_GB2312"/>
          <w:b/>
          <w:sz w:val="32"/>
          <w:szCs w:val="32"/>
        </w:rPr>
      </w:pPr>
      <w:r>
        <w:rPr>
          <w:rFonts w:hint="eastAsia" w:ascii="仿宋_GB2312" w:hAnsi="仿宋_GB2312" w:eastAsia="仿宋_GB2312" w:cs="仿宋_GB2312"/>
          <w:color w:val="333333"/>
          <w:kern w:val="0"/>
          <w:sz w:val="32"/>
          <w:szCs w:val="32"/>
        </w:rPr>
        <w:t>一、收入支出决算总体情况说明</w:t>
      </w:r>
    </w:p>
    <w:p>
      <w:pPr>
        <w:ind w:firstLine="480" w:firstLineChars="150"/>
        <w:rPr>
          <w:rFonts w:ascii="仿宋_GB2312" w:eastAsia="仿宋_GB2312"/>
          <w:b/>
          <w:sz w:val="32"/>
          <w:szCs w:val="32"/>
        </w:rPr>
      </w:pPr>
      <w:r>
        <w:rPr>
          <w:rFonts w:ascii="仿宋_GB2312" w:hAnsi="仿宋_GB2312" w:eastAsia="仿宋_GB2312" w:cs="仿宋_GB2312"/>
          <w:color w:val="333333"/>
          <w:kern w:val="0"/>
          <w:sz w:val="32"/>
          <w:szCs w:val="32"/>
        </w:rPr>
        <w:t>2019</w:t>
      </w:r>
      <w:r>
        <w:rPr>
          <w:rFonts w:hint="eastAsia" w:ascii="仿宋_GB2312" w:hAnsi="仿宋_GB2312" w:eastAsia="仿宋_GB2312" w:cs="仿宋_GB2312"/>
          <w:color w:val="333333"/>
          <w:kern w:val="0"/>
          <w:sz w:val="32"/>
          <w:szCs w:val="32"/>
        </w:rPr>
        <w:t>年度收入总计</w:t>
      </w:r>
      <w:r>
        <w:rPr>
          <w:rFonts w:ascii="仿宋_GB2312" w:hAnsi="仿宋_GB2312" w:eastAsia="仿宋_GB2312" w:cs="仿宋_GB2312"/>
          <w:color w:val="333333"/>
          <w:kern w:val="0"/>
          <w:sz w:val="32"/>
          <w:szCs w:val="32"/>
        </w:rPr>
        <w:t>677.83</w:t>
      </w:r>
      <w:r>
        <w:rPr>
          <w:rFonts w:hint="eastAsia" w:ascii="仿宋_GB2312" w:hAnsi="仿宋_GB2312" w:eastAsia="仿宋_GB2312" w:cs="仿宋_GB2312"/>
          <w:color w:val="333333"/>
          <w:kern w:val="0"/>
          <w:sz w:val="32"/>
          <w:szCs w:val="32"/>
        </w:rPr>
        <w:t>万元，支出总计</w:t>
      </w:r>
      <w:r>
        <w:rPr>
          <w:rFonts w:ascii="仿宋_GB2312" w:hAnsi="仿宋_GB2312" w:eastAsia="仿宋_GB2312" w:cs="仿宋_GB2312"/>
          <w:color w:val="333333"/>
          <w:kern w:val="0"/>
          <w:sz w:val="32"/>
          <w:szCs w:val="32"/>
        </w:rPr>
        <w:t>677.83</w:t>
      </w:r>
      <w:r>
        <w:rPr>
          <w:rFonts w:hint="eastAsia" w:ascii="仿宋_GB2312" w:hAnsi="仿宋_GB2312" w:eastAsia="仿宋_GB2312" w:cs="仿宋_GB2312"/>
          <w:color w:val="333333"/>
          <w:kern w:val="0"/>
          <w:sz w:val="32"/>
          <w:szCs w:val="32"/>
        </w:rPr>
        <w:t>万元，与</w:t>
      </w:r>
      <w:r>
        <w:rPr>
          <w:rFonts w:ascii="仿宋_GB2312" w:hAnsi="仿宋_GB2312" w:eastAsia="仿宋_GB2312" w:cs="仿宋_GB2312"/>
          <w:color w:val="333333"/>
          <w:kern w:val="0"/>
          <w:sz w:val="32"/>
          <w:szCs w:val="32"/>
        </w:rPr>
        <w:t>2018</w:t>
      </w:r>
      <w:r>
        <w:rPr>
          <w:rFonts w:hint="eastAsia" w:ascii="仿宋_GB2312" w:hAnsi="仿宋_GB2312" w:eastAsia="仿宋_GB2312" w:cs="仿宋_GB2312"/>
          <w:color w:val="333333"/>
          <w:kern w:val="0"/>
          <w:sz w:val="32"/>
          <w:szCs w:val="32"/>
        </w:rPr>
        <w:t>年相比，收、支总计各增加</w:t>
      </w:r>
      <w:r>
        <w:rPr>
          <w:rFonts w:ascii="仿宋_GB2312" w:hAnsi="仿宋_GB2312" w:eastAsia="仿宋_GB2312" w:cs="仿宋_GB2312"/>
          <w:color w:val="333333"/>
          <w:kern w:val="0"/>
          <w:sz w:val="32"/>
          <w:szCs w:val="32"/>
        </w:rPr>
        <w:t>160.96</w:t>
      </w:r>
      <w:r>
        <w:rPr>
          <w:rFonts w:hint="eastAsia" w:ascii="仿宋_GB2312" w:hAnsi="仿宋_GB2312" w:eastAsia="仿宋_GB2312" w:cs="仿宋_GB2312"/>
          <w:color w:val="333333"/>
          <w:kern w:val="0"/>
          <w:sz w:val="32"/>
          <w:szCs w:val="32"/>
        </w:rPr>
        <w:t>万元，增幅</w:t>
      </w:r>
      <w:r>
        <w:rPr>
          <w:rFonts w:ascii="仿宋_GB2312" w:hAnsi="仿宋_GB2312" w:eastAsia="仿宋_GB2312" w:cs="仿宋_GB2312"/>
          <w:color w:val="333333"/>
          <w:kern w:val="0"/>
          <w:sz w:val="32"/>
          <w:szCs w:val="32"/>
        </w:rPr>
        <w:t>31.14%.</w:t>
      </w:r>
      <w:r>
        <w:rPr>
          <w:rFonts w:hint="eastAsia" w:ascii="仿宋_GB2312" w:hAnsi="仿宋_GB2312" w:eastAsia="仿宋_GB2312" w:cs="仿宋_GB2312"/>
          <w:color w:val="333333"/>
          <w:kern w:val="0"/>
          <w:sz w:val="32"/>
          <w:szCs w:val="32"/>
        </w:rPr>
        <w:t>主要原因：增加了专项统计工作及全国第四次经济普查工作经费。</w:t>
      </w:r>
    </w:p>
    <w:p>
      <w:pPr>
        <w:ind w:firstLine="480" w:firstLineChars="150"/>
        <w:rPr>
          <w:rFonts w:ascii="仿宋_GB2312" w:eastAsia="仿宋_GB2312"/>
          <w:b/>
          <w:sz w:val="32"/>
          <w:szCs w:val="32"/>
        </w:rPr>
      </w:pPr>
      <w:r>
        <w:rPr>
          <w:rFonts w:hint="eastAsia" w:ascii="仿宋_GB2312" w:hAnsi="仿宋_GB2312" w:eastAsia="仿宋_GB2312" w:cs="仿宋_GB2312"/>
          <w:color w:val="333333"/>
          <w:kern w:val="0"/>
          <w:sz w:val="32"/>
          <w:szCs w:val="32"/>
        </w:rPr>
        <w:t>二、收入决算情况说明</w:t>
      </w:r>
    </w:p>
    <w:p>
      <w:pPr>
        <w:ind w:firstLine="480" w:firstLineChars="150"/>
        <w:rPr>
          <w:rFonts w:ascii="仿宋_GB2312" w:eastAsia="仿宋_GB2312"/>
          <w:b/>
          <w:sz w:val="32"/>
          <w:szCs w:val="32"/>
        </w:rPr>
      </w:pPr>
      <w:r>
        <w:rPr>
          <w:rFonts w:hint="eastAsia" w:ascii="仿宋_GB2312" w:hAnsi="仿宋_GB2312" w:eastAsia="仿宋_GB2312" w:cs="仿宋_GB2312"/>
          <w:color w:val="333333"/>
          <w:kern w:val="0"/>
          <w:sz w:val="32"/>
          <w:szCs w:val="32"/>
        </w:rPr>
        <w:t>本年收入合计</w:t>
      </w:r>
      <w:r>
        <w:rPr>
          <w:rFonts w:ascii="仿宋_GB2312" w:hAnsi="仿宋_GB2312" w:eastAsia="仿宋_GB2312" w:cs="仿宋_GB2312"/>
          <w:color w:val="333333"/>
          <w:kern w:val="0"/>
          <w:sz w:val="32"/>
          <w:szCs w:val="32"/>
        </w:rPr>
        <w:t>677.83</w:t>
      </w:r>
      <w:r>
        <w:rPr>
          <w:rFonts w:hint="eastAsia" w:ascii="仿宋_GB2312" w:hAnsi="仿宋_GB2312" w:eastAsia="仿宋_GB2312" w:cs="仿宋_GB2312"/>
          <w:color w:val="333333"/>
          <w:kern w:val="0"/>
          <w:sz w:val="32"/>
          <w:szCs w:val="32"/>
        </w:rPr>
        <w:t>万元，全部为财政拨款收入。</w:t>
      </w:r>
    </w:p>
    <w:p>
      <w:pPr>
        <w:widowControl/>
        <w:wordWrap w:val="0"/>
        <w:spacing w:before="210" w:after="210" w:line="420" w:lineRule="atLeast"/>
        <w:ind w:firstLine="480" w:firstLineChars="15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三、支出决算情况说明</w:t>
      </w:r>
    </w:p>
    <w:p>
      <w:pPr>
        <w:widowControl/>
        <w:wordWrap w:val="0"/>
        <w:spacing w:before="210" w:after="210" w:line="420" w:lineRule="atLeast"/>
        <w:ind w:firstLine="320" w:firstLineChars="10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rPr>
        <w:t>本年支出合计</w:t>
      </w:r>
      <w:r>
        <w:rPr>
          <w:rFonts w:ascii="仿宋_GB2312" w:hAnsi="仿宋_GB2312" w:eastAsia="仿宋_GB2312" w:cs="仿宋_GB2312"/>
          <w:color w:val="333333"/>
          <w:kern w:val="0"/>
          <w:sz w:val="32"/>
          <w:szCs w:val="32"/>
        </w:rPr>
        <w:t>677.83</w:t>
      </w:r>
      <w:r>
        <w:rPr>
          <w:rFonts w:hint="eastAsia" w:ascii="仿宋_GB2312" w:hAnsi="仿宋_GB2312" w:eastAsia="仿宋_GB2312" w:cs="仿宋_GB2312"/>
          <w:color w:val="333333"/>
          <w:kern w:val="0"/>
          <w:sz w:val="32"/>
          <w:szCs w:val="32"/>
        </w:rPr>
        <w:t>万元，全部为财政拨款支出。</w:t>
      </w:r>
    </w:p>
    <w:p>
      <w:pPr>
        <w:widowControl/>
        <w:wordWrap w:val="0"/>
        <w:spacing w:before="210" w:after="210" w:line="420" w:lineRule="atLeast"/>
        <w:ind w:firstLine="320" w:firstLineChars="1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四、财政拨款收入支出决算总体情况说明</w:t>
      </w:r>
    </w:p>
    <w:p>
      <w:pPr>
        <w:widowControl/>
        <w:wordWrap w:val="0"/>
        <w:spacing w:before="210" w:after="210" w:line="420" w:lineRule="atLeast"/>
        <w:ind w:firstLine="320" w:firstLineChars="100"/>
        <w:jc w:val="left"/>
        <w:rPr>
          <w:rFonts w:ascii="仿宋_GB2312" w:hAnsi="仿宋_GB2312" w:eastAsia="仿宋_GB2312" w:cs="仿宋_GB2312"/>
          <w:color w:val="333333"/>
          <w:kern w:val="0"/>
          <w:sz w:val="32"/>
          <w:szCs w:val="32"/>
        </w:rPr>
      </w:pPr>
      <w:r>
        <w:rPr>
          <w:rFonts w:ascii="仿宋_GB2312" w:hAnsi="仿宋_GB2312" w:eastAsia="仿宋_GB2312" w:cs="仿宋_GB2312"/>
          <w:color w:val="333333"/>
          <w:kern w:val="0"/>
          <w:sz w:val="32"/>
          <w:szCs w:val="32"/>
        </w:rPr>
        <w:t>2019</w:t>
      </w:r>
      <w:r>
        <w:rPr>
          <w:rFonts w:hint="eastAsia" w:ascii="仿宋_GB2312" w:hAnsi="仿宋_GB2312" w:eastAsia="仿宋_GB2312" w:cs="仿宋_GB2312"/>
          <w:color w:val="333333"/>
          <w:kern w:val="0"/>
          <w:sz w:val="32"/>
          <w:szCs w:val="32"/>
        </w:rPr>
        <w:t>年度财政拨款收、支总计</w:t>
      </w:r>
      <w:r>
        <w:rPr>
          <w:rFonts w:ascii="仿宋_GB2312" w:hAnsi="仿宋_GB2312" w:eastAsia="仿宋_GB2312" w:cs="仿宋_GB2312"/>
          <w:color w:val="333333"/>
          <w:kern w:val="0"/>
          <w:sz w:val="32"/>
          <w:szCs w:val="32"/>
        </w:rPr>
        <w:t>677.83</w:t>
      </w:r>
      <w:r>
        <w:rPr>
          <w:rFonts w:hint="eastAsia" w:ascii="仿宋_GB2312" w:hAnsi="仿宋_GB2312" w:eastAsia="仿宋_GB2312" w:cs="仿宋_GB2312"/>
          <w:color w:val="333333"/>
          <w:kern w:val="0"/>
          <w:sz w:val="32"/>
          <w:szCs w:val="32"/>
        </w:rPr>
        <w:t>万元，与</w:t>
      </w:r>
      <w:r>
        <w:rPr>
          <w:rFonts w:ascii="仿宋_GB2312" w:hAnsi="仿宋_GB2312" w:eastAsia="仿宋_GB2312" w:cs="仿宋_GB2312"/>
          <w:color w:val="333333"/>
          <w:kern w:val="0"/>
          <w:sz w:val="32"/>
          <w:szCs w:val="32"/>
        </w:rPr>
        <w:t>2018</w:t>
      </w:r>
      <w:r>
        <w:rPr>
          <w:rFonts w:hint="eastAsia" w:ascii="仿宋_GB2312" w:hAnsi="仿宋_GB2312" w:eastAsia="仿宋_GB2312" w:cs="仿宋_GB2312"/>
          <w:color w:val="333333"/>
          <w:kern w:val="0"/>
          <w:sz w:val="32"/>
          <w:szCs w:val="32"/>
        </w:rPr>
        <w:t>年相比，财政拨款收、支总计各增加</w:t>
      </w:r>
      <w:r>
        <w:rPr>
          <w:rFonts w:ascii="仿宋_GB2312" w:hAnsi="仿宋_GB2312" w:eastAsia="仿宋_GB2312" w:cs="仿宋_GB2312"/>
          <w:color w:val="333333"/>
          <w:kern w:val="0"/>
          <w:sz w:val="32"/>
          <w:szCs w:val="32"/>
        </w:rPr>
        <w:t>160.96</w:t>
      </w:r>
      <w:r>
        <w:rPr>
          <w:rFonts w:hint="eastAsia" w:ascii="仿宋_GB2312" w:hAnsi="仿宋_GB2312" w:eastAsia="仿宋_GB2312" w:cs="仿宋_GB2312"/>
          <w:color w:val="333333"/>
          <w:kern w:val="0"/>
          <w:sz w:val="32"/>
          <w:szCs w:val="32"/>
        </w:rPr>
        <w:t>万元，增幅</w:t>
      </w:r>
      <w:r>
        <w:rPr>
          <w:rFonts w:ascii="仿宋_GB2312" w:hAnsi="仿宋_GB2312" w:eastAsia="仿宋_GB2312" w:cs="仿宋_GB2312"/>
          <w:color w:val="333333"/>
          <w:kern w:val="0"/>
          <w:sz w:val="32"/>
          <w:szCs w:val="32"/>
        </w:rPr>
        <w:t>31.14%</w:t>
      </w:r>
      <w:r>
        <w:rPr>
          <w:rFonts w:hint="eastAsia" w:ascii="仿宋_GB2312" w:hAnsi="仿宋_GB2312" w:eastAsia="仿宋_GB2312" w:cs="仿宋_GB2312"/>
          <w:color w:val="333333"/>
          <w:kern w:val="0"/>
          <w:sz w:val="32"/>
          <w:szCs w:val="32"/>
        </w:rPr>
        <w:t>。</w:t>
      </w:r>
    </w:p>
    <w:p>
      <w:pPr>
        <w:ind w:firstLine="300" w:firstLineChars="100"/>
        <w:rPr>
          <w:rFonts w:ascii="仿宋_GB2312" w:eastAsia="仿宋_GB2312"/>
          <w:sz w:val="30"/>
          <w:szCs w:val="30"/>
        </w:rPr>
      </w:pPr>
      <w:r>
        <w:rPr>
          <w:rFonts w:hint="eastAsia" w:ascii="仿宋_GB2312" w:eastAsia="仿宋_GB2312"/>
          <w:sz w:val="30"/>
          <w:szCs w:val="30"/>
        </w:rPr>
        <w:t>本年度财政拨款收入中，一般公共预算财政拨款收入</w:t>
      </w:r>
      <w:r>
        <w:rPr>
          <w:rFonts w:ascii="仿宋_GB2312" w:eastAsia="仿宋_GB2312"/>
          <w:sz w:val="30"/>
          <w:szCs w:val="30"/>
        </w:rPr>
        <w:t>677.83</w:t>
      </w:r>
      <w:r>
        <w:rPr>
          <w:rFonts w:hint="eastAsia" w:ascii="仿宋_GB2312" w:eastAsia="仿宋_GB2312"/>
          <w:sz w:val="30"/>
          <w:szCs w:val="30"/>
        </w:rPr>
        <w:t>万元，占比</w:t>
      </w:r>
      <w:r>
        <w:rPr>
          <w:rFonts w:ascii="仿宋_GB2312" w:eastAsia="仿宋_GB2312"/>
          <w:sz w:val="30"/>
          <w:szCs w:val="30"/>
        </w:rPr>
        <w:t>100%</w:t>
      </w:r>
      <w:r>
        <w:rPr>
          <w:rFonts w:hint="eastAsia" w:ascii="仿宋_GB2312" w:eastAsia="仿宋_GB2312"/>
          <w:sz w:val="30"/>
          <w:szCs w:val="30"/>
        </w:rPr>
        <w:t>。</w:t>
      </w:r>
    </w:p>
    <w:p>
      <w:pPr>
        <w:ind w:firstLine="300" w:firstLineChars="100"/>
        <w:rPr>
          <w:rFonts w:ascii="仿宋_GB2312" w:eastAsia="仿宋_GB2312"/>
          <w:sz w:val="32"/>
          <w:szCs w:val="32"/>
        </w:rPr>
      </w:pPr>
      <w:r>
        <w:rPr>
          <w:rFonts w:hint="eastAsia" w:ascii="仿宋_GB2312" w:eastAsia="仿宋_GB2312"/>
          <w:sz w:val="30"/>
          <w:szCs w:val="30"/>
        </w:rPr>
        <w:t>本单位本年度财政拨款支出</w:t>
      </w:r>
      <w:r>
        <w:rPr>
          <w:rFonts w:ascii="仿宋_GB2312" w:eastAsia="仿宋_GB2312"/>
          <w:sz w:val="30"/>
          <w:szCs w:val="30"/>
        </w:rPr>
        <w:t>677.83</w:t>
      </w:r>
      <w:r>
        <w:rPr>
          <w:rFonts w:hint="eastAsia" w:ascii="仿宋_GB2312" w:eastAsia="仿宋_GB2312"/>
          <w:sz w:val="30"/>
          <w:szCs w:val="30"/>
        </w:rPr>
        <w:t>万元，其中一般公共预算</w:t>
      </w:r>
      <w:r>
        <w:rPr>
          <w:rFonts w:hint="eastAsia" w:ascii="仿宋_GB2312" w:eastAsia="仿宋_GB2312"/>
          <w:sz w:val="32"/>
          <w:szCs w:val="32"/>
        </w:rPr>
        <w:t>财政拨款支出</w:t>
      </w:r>
      <w:r>
        <w:rPr>
          <w:rFonts w:ascii="仿宋_GB2312" w:eastAsia="仿宋_GB2312"/>
          <w:sz w:val="32"/>
          <w:szCs w:val="32"/>
        </w:rPr>
        <w:t>677.83</w:t>
      </w:r>
      <w:r>
        <w:rPr>
          <w:rFonts w:hint="eastAsia" w:ascii="仿宋_GB2312" w:eastAsia="仿宋_GB2312"/>
          <w:sz w:val="32"/>
          <w:szCs w:val="32"/>
        </w:rPr>
        <w:t>万元，占比</w:t>
      </w:r>
      <w:r>
        <w:rPr>
          <w:rFonts w:ascii="仿宋_GB2312" w:eastAsia="仿宋_GB2312"/>
          <w:sz w:val="32"/>
          <w:szCs w:val="32"/>
        </w:rPr>
        <w:t>100%</w:t>
      </w:r>
      <w:r>
        <w:rPr>
          <w:rFonts w:hint="eastAsia" w:ascii="仿宋_GB2312" w:eastAsia="仿宋_GB2312"/>
          <w:sz w:val="32"/>
          <w:szCs w:val="32"/>
        </w:rPr>
        <w:t>。</w:t>
      </w:r>
    </w:p>
    <w:p>
      <w:pPr>
        <w:ind w:firstLine="480" w:firstLineChars="150"/>
        <w:rPr>
          <w:rFonts w:ascii="仿宋_GB2312" w:eastAsia="仿宋_GB2312"/>
          <w:sz w:val="32"/>
          <w:szCs w:val="32"/>
        </w:rPr>
      </w:pPr>
      <w:r>
        <w:rPr>
          <w:rFonts w:hint="eastAsia" w:ascii="仿宋_GB2312" w:hAnsi="仿宋_GB2312" w:eastAsia="仿宋_GB2312" w:cs="仿宋_GB2312"/>
          <w:color w:val="333333"/>
          <w:kern w:val="0"/>
          <w:sz w:val="32"/>
          <w:szCs w:val="32"/>
        </w:rPr>
        <w:t>五、一般公共预算财政拨款支出决算情况说明</w:t>
      </w:r>
    </w:p>
    <w:p>
      <w:pPr>
        <w:ind w:firstLine="600" w:firstLineChars="200"/>
        <w:rPr>
          <w:rFonts w:ascii="仿宋_GB2312" w:hAnsi="仿宋_GB2312" w:eastAsia="仿宋_GB2312" w:cs="仿宋_GB2312"/>
          <w:color w:val="333333"/>
          <w:kern w:val="0"/>
          <w:sz w:val="32"/>
          <w:szCs w:val="32"/>
        </w:rPr>
      </w:pPr>
      <w:r>
        <w:rPr>
          <w:sz w:val="30"/>
          <w:szCs w:val="30"/>
        </w:rPr>
        <w:t>1</w:t>
      </w:r>
      <w:r>
        <w:rPr>
          <w:rFonts w:hint="eastAsia"/>
          <w:sz w:val="30"/>
          <w:szCs w:val="30"/>
        </w:rPr>
        <w:t>、本年度一般公共预算财政拨款支出</w:t>
      </w:r>
      <w:r>
        <w:rPr>
          <w:sz w:val="30"/>
          <w:szCs w:val="30"/>
        </w:rPr>
        <w:t>677.83</w:t>
      </w:r>
      <w:r>
        <w:rPr>
          <w:rFonts w:hint="eastAsia"/>
          <w:sz w:val="30"/>
          <w:szCs w:val="30"/>
        </w:rPr>
        <w:t>万元，比上年增加</w:t>
      </w:r>
      <w:r>
        <w:rPr>
          <w:sz w:val="30"/>
          <w:szCs w:val="30"/>
        </w:rPr>
        <w:t>160.96</w:t>
      </w:r>
      <w:r>
        <w:rPr>
          <w:rFonts w:hint="eastAsia"/>
          <w:sz w:val="30"/>
          <w:szCs w:val="30"/>
        </w:rPr>
        <w:t>万元，同比增长</w:t>
      </w:r>
      <w:r>
        <w:rPr>
          <w:sz w:val="30"/>
          <w:szCs w:val="30"/>
        </w:rPr>
        <w:t>31.14%</w:t>
      </w:r>
      <w:r>
        <w:rPr>
          <w:rFonts w:hint="eastAsia"/>
          <w:sz w:val="30"/>
          <w:szCs w:val="30"/>
        </w:rPr>
        <w:t>，主要原因</w:t>
      </w:r>
      <w:r>
        <w:rPr>
          <w:rFonts w:hint="eastAsia"/>
          <w:sz w:val="30"/>
          <w:szCs w:val="30"/>
          <w:lang w:eastAsia="zh-CN"/>
        </w:rPr>
        <w:t>：</w:t>
      </w:r>
      <w:r>
        <w:rPr>
          <w:rFonts w:hint="eastAsia"/>
          <w:sz w:val="30"/>
          <w:szCs w:val="30"/>
        </w:rPr>
        <w:t>是</w:t>
      </w:r>
      <w:r>
        <w:rPr>
          <w:rFonts w:hint="eastAsia" w:ascii="仿宋_GB2312" w:hAnsi="仿宋_GB2312" w:eastAsia="仿宋_GB2312" w:cs="仿宋_GB2312"/>
          <w:color w:val="333333"/>
          <w:kern w:val="0"/>
          <w:sz w:val="32"/>
          <w:szCs w:val="32"/>
        </w:rPr>
        <w:t>增加了全国第四次经济普查工作经费。</w:t>
      </w:r>
    </w:p>
    <w:p>
      <w:pPr>
        <w:ind w:firstLine="600" w:firstLineChars="200"/>
        <w:rPr>
          <w:rFonts w:ascii="仿宋_GB2312" w:hAnsi="仿宋_GB2312" w:eastAsia="仿宋_GB2312" w:cs="仿宋_GB2312"/>
          <w:color w:val="333333"/>
          <w:kern w:val="0"/>
          <w:sz w:val="32"/>
          <w:szCs w:val="32"/>
        </w:rPr>
      </w:pPr>
      <w:r>
        <w:rPr>
          <w:sz w:val="30"/>
          <w:szCs w:val="30"/>
        </w:rPr>
        <w:t>2</w:t>
      </w:r>
      <w:r>
        <w:rPr>
          <w:rFonts w:hint="eastAsia"/>
          <w:sz w:val="30"/>
          <w:szCs w:val="30"/>
        </w:rPr>
        <w:t>、本年度一般公共预算财政拨款支出决算结构情况（按功能科目分类）：</w:t>
      </w:r>
      <w:r>
        <w:rPr>
          <w:rFonts w:ascii="仿宋_GB2312" w:hAnsi="仿宋_GB2312" w:eastAsia="仿宋_GB2312" w:cs="仿宋_GB2312"/>
          <w:color w:val="333333"/>
          <w:kern w:val="0"/>
          <w:sz w:val="32"/>
          <w:szCs w:val="32"/>
        </w:rPr>
        <w:t>2019</w:t>
      </w:r>
      <w:r>
        <w:rPr>
          <w:rFonts w:hint="eastAsia" w:ascii="仿宋_GB2312" w:hAnsi="仿宋_GB2312" w:eastAsia="仿宋_GB2312" w:cs="仿宋_GB2312"/>
          <w:color w:val="333333"/>
          <w:kern w:val="0"/>
          <w:sz w:val="32"/>
          <w:szCs w:val="32"/>
        </w:rPr>
        <w:t>年度财政拨款基本支出</w:t>
      </w:r>
      <w:r>
        <w:rPr>
          <w:rFonts w:ascii="仿宋_GB2312" w:hAnsi="仿宋_GB2312" w:eastAsia="仿宋_GB2312" w:cs="仿宋_GB2312"/>
          <w:color w:val="333333"/>
          <w:kern w:val="0"/>
          <w:sz w:val="32"/>
          <w:szCs w:val="32"/>
        </w:rPr>
        <w:t>677.83</w:t>
      </w:r>
      <w:r>
        <w:rPr>
          <w:rFonts w:hint="eastAsia" w:ascii="仿宋_GB2312" w:hAnsi="仿宋_GB2312" w:eastAsia="仿宋_GB2312" w:cs="仿宋_GB2312"/>
          <w:color w:val="333333"/>
          <w:kern w:val="0"/>
          <w:sz w:val="32"/>
          <w:szCs w:val="32"/>
        </w:rPr>
        <w:t>万元，其中：人员经费</w:t>
      </w:r>
      <w:r>
        <w:rPr>
          <w:rFonts w:ascii="仿宋_GB2312" w:hAnsi="仿宋_GB2312" w:eastAsia="仿宋_GB2312" w:cs="仿宋_GB2312"/>
          <w:color w:val="333333"/>
          <w:kern w:val="0"/>
          <w:sz w:val="32"/>
          <w:szCs w:val="32"/>
        </w:rPr>
        <w:t>295.72</w:t>
      </w:r>
      <w:r>
        <w:rPr>
          <w:rFonts w:hint="eastAsia" w:ascii="仿宋_GB2312" w:hAnsi="仿宋_GB2312" w:eastAsia="仿宋_GB2312" w:cs="仿宋_GB2312"/>
          <w:color w:val="333333"/>
          <w:kern w:val="0"/>
          <w:sz w:val="32"/>
          <w:szCs w:val="32"/>
        </w:rPr>
        <w:t>万元，占比</w:t>
      </w:r>
      <w:r>
        <w:rPr>
          <w:rFonts w:ascii="仿宋_GB2312" w:hAnsi="仿宋_GB2312" w:eastAsia="仿宋_GB2312" w:cs="仿宋_GB2312"/>
          <w:color w:val="333333"/>
          <w:kern w:val="0"/>
          <w:sz w:val="32"/>
          <w:szCs w:val="32"/>
        </w:rPr>
        <w:t>43.63%</w:t>
      </w:r>
      <w:r>
        <w:rPr>
          <w:rFonts w:hint="eastAsia" w:ascii="仿宋_GB2312" w:hAnsi="仿宋_GB2312" w:eastAsia="仿宋_GB2312" w:cs="仿宋_GB2312"/>
          <w:color w:val="333333"/>
          <w:kern w:val="0"/>
          <w:sz w:val="32"/>
          <w:szCs w:val="32"/>
        </w:rPr>
        <w:t>，主要包括：基本工资、津贴补贴、奖金、其他社会保障缴费、绩效工资、机关事业单位基本养老保险缴费、职业年金缴费、其他工资福利支出、离休费、抚恤金、医疗费、住房公积金、其他对个人和家庭的补助支出；公用经费</w:t>
      </w:r>
      <w:r>
        <w:rPr>
          <w:rFonts w:ascii="仿宋_GB2312" w:hAnsi="仿宋_GB2312" w:eastAsia="仿宋_GB2312" w:cs="仿宋_GB2312"/>
          <w:color w:val="333333"/>
          <w:kern w:val="0"/>
          <w:sz w:val="32"/>
          <w:szCs w:val="32"/>
        </w:rPr>
        <w:t>382.11</w:t>
      </w:r>
      <w:r>
        <w:rPr>
          <w:rFonts w:hint="eastAsia" w:ascii="仿宋_GB2312" w:hAnsi="仿宋_GB2312" w:eastAsia="仿宋_GB2312" w:cs="仿宋_GB2312"/>
          <w:color w:val="333333"/>
          <w:kern w:val="0"/>
          <w:sz w:val="32"/>
          <w:szCs w:val="32"/>
        </w:rPr>
        <w:t>万元，占比</w:t>
      </w:r>
      <w:r>
        <w:rPr>
          <w:rFonts w:ascii="仿宋_GB2312" w:hAnsi="仿宋_GB2312" w:eastAsia="仿宋_GB2312" w:cs="仿宋_GB2312"/>
          <w:color w:val="333333"/>
          <w:kern w:val="0"/>
          <w:sz w:val="32"/>
          <w:szCs w:val="32"/>
        </w:rPr>
        <w:t>56.37%</w:t>
      </w:r>
      <w:r>
        <w:rPr>
          <w:rFonts w:hint="eastAsia" w:ascii="仿宋_GB2312" w:hAnsi="仿宋_GB2312" w:eastAsia="仿宋_GB2312" w:cs="仿宋_GB2312"/>
          <w:color w:val="333333"/>
          <w:kern w:val="0"/>
          <w:sz w:val="32"/>
          <w:szCs w:val="32"/>
        </w:rPr>
        <w:t>，主要包括：办公费、印刷费、水费、电费、邮电费、差旅费、会议费、培训费、公务接待费、工会经费、福利费、其他交通费用与专项统计业务工作及经济普查费用。</w:t>
      </w:r>
    </w:p>
    <w:p>
      <w:pPr>
        <w:ind w:firstLine="626" w:firstLineChars="195"/>
        <w:rPr>
          <w:rFonts w:ascii="仿宋_GB2312" w:eastAsia="仿宋_GB2312"/>
          <w:sz w:val="32"/>
          <w:szCs w:val="32"/>
        </w:rPr>
      </w:pPr>
      <w:r>
        <w:rPr>
          <w:rFonts w:hint="eastAsia" w:ascii="仿宋_GB2312" w:hAnsi="仿宋_GB2312" w:eastAsia="仿宋_GB2312" w:cs="仿宋_GB2312"/>
          <w:b/>
          <w:color w:val="333333"/>
          <w:kern w:val="0"/>
          <w:sz w:val="32"/>
          <w:szCs w:val="32"/>
        </w:rPr>
        <w:t>六、</w:t>
      </w:r>
      <w:r>
        <w:rPr>
          <w:rFonts w:hint="eastAsia" w:ascii="仿宋_GB2312" w:eastAsia="仿宋_GB2312"/>
          <w:sz w:val="32"/>
          <w:szCs w:val="32"/>
        </w:rPr>
        <w:t>一般公共预算财政拨款基本支出决算情况说明</w:t>
      </w:r>
    </w:p>
    <w:p>
      <w:pPr>
        <w:ind w:left="160" w:leftChars="76" w:firstLine="480" w:firstLineChars="150"/>
        <w:rPr>
          <w:rFonts w:ascii="仿宋_GB2312" w:hAnsi="仿宋_GB2312" w:eastAsia="仿宋_GB2312" w:cs="仿宋_GB2312"/>
          <w:color w:val="333333"/>
          <w:kern w:val="0"/>
          <w:sz w:val="32"/>
          <w:szCs w:val="32"/>
        </w:rPr>
      </w:pPr>
      <w:r>
        <w:rPr>
          <w:rFonts w:ascii="仿宋_GB2312" w:hAnsi="仿宋_GB2312" w:eastAsia="仿宋_GB2312" w:cs="仿宋_GB2312"/>
          <w:color w:val="333333"/>
          <w:kern w:val="0"/>
          <w:sz w:val="32"/>
          <w:szCs w:val="32"/>
        </w:rPr>
        <w:t>1</w:t>
      </w:r>
      <w:r>
        <w:rPr>
          <w:rFonts w:hint="eastAsia" w:ascii="仿宋_GB2312" w:hAnsi="仿宋_GB2312" w:eastAsia="仿宋_GB2312" w:cs="仿宋_GB2312"/>
          <w:color w:val="333333"/>
          <w:kern w:val="0"/>
          <w:sz w:val="32"/>
          <w:szCs w:val="32"/>
        </w:rPr>
        <w:t>、人员经费</w:t>
      </w:r>
      <w:r>
        <w:rPr>
          <w:rFonts w:ascii="仿宋_GB2312" w:hAnsi="仿宋_GB2312" w:eastAsia="仿宋_GB2312" w:cs="仿宋_GB2312"/>
          <w:color w:val="333333"/>
          <w:kern w:val="0"/>
          <w:sz w:val="32"/>
          <w:szCs w:val="32"/>
        </w:rPr>
        <w:t>295.72</w:t>
      </w:r>
      <w:r>
        <w:rPr>
          <w:rFonts w:hint="eastAsia" w:ascii="仿宋_GB2312" w:hAnsi="仿宋_GB2312" w:eastAsia="仿宋_GB2312" w:cs="仿宋_GB2312"/>
          <w:color w:val="333333"/>
          <w:kern w:val="0"/>
          <w:sz w:val="32"/>
          <w:szCs w:val="32"/>
        </w:rPr>
        <w:t>万元，主要包括：基本工资、津贴补贴、奖金、其他社会保障缴费、绩效工资、机关事业单位基本养老保险缴费、职业年金缴费、其他工资福利支出、离休费、抚恤金、医疗费、住房公积金、其他对个人和家庭的补助支出；</w:t>
      </w:r>
    </w:p>
    <w:p>
      <w:pPr>
        <w:ind w:firstLine="800" w:firstLineChars="250"/>
        <w:rPr>
          <w:rFonts w:ascii="仿宋_GB2312" w:hAnsi="仿宋_GB2312" w:eastAsia="仿宋_GB2312" w:cs="仿宋_GB2312"/>
          <w:color w:val="333333"/>
          <w:kern w:val="0"/>
          <w:sz w:val="32"/>
          <w:szCs w:val="32"/>
        </w:rPr>
      </w:pPr>
      <w:r>
        <w:rPr>
          <w:rFonts w:ascii="仿宋_GB2312" w:hAnsi="仿宋_GB2312" w:eastAsia="仿宋_GB2312" w:cs="仿宋_GB2312"/>
          <w:color w:val="333333"/>
          <w:kern w:val="0"/>
          <w:sz w:val="32"/>
          <w:szCs w:val="32"/>
        </w:rPr>
        <w:t>2</w:t>
      </w:r>
      <w:r>
        <w:rPr>
          <w:rFonts w:hint="eastAsia" w:ascii="仿宋_GB2312" w:hAnsi="仿宋_GB2312" w:eastAsia="仿宋_GB2312" w:cs="仿宋_GB2312"/>
          <w:color w:val="333333"/>
          <w:kern w:val="0"/>
          <w:sz w:val="32"/>
          <w:szCs w:val="32"/>
        </w:rPr>
        <w:t>、公用经费</w:t>
      </w:r>
      <w:r>
        <w:rPr>
          <w:rFonts w:ascii="仿宋_GB2312" w:hAnsi="仿宋_GB2312" w:eastAsia="仿宋_GB2312" w:cs="仿宋_GB2312"/>
          <w:color w:val="333333"/>
          <w:kern w:val="0"/>
          <w:sz w:val="32"/>
          <w:szCs w:val="32"/>
        </w:rPr>
        <w:t>382.11</w:t>
      </w:r>
      <w:r>
        <w:rPr>
          <w:rFonts w:hint="eastAsia" w:ascii="仿宋_GB2312" w:hAnsi="仿宋_GB2312" w:eastAsia="仿宋_GB2312" w:cs="仿宋_GB2312"/>
          <w:color w:val="333333"/>
          <w:kern w:val="0"/>
          <w:sz w:val="32"/>
          <w:szCs w:val="32"/>
        </w:rPr>
        <w:t>万元，主要包括：办公费、印刷费、水费、电费、邮电费、差旅费、会议费、培训费、公务接待费、工会费、邮电费、差旅费、会议费、培训费、公务接待费、工会经费、福利费、其他交通费用与专项统计业务工作及经济普查费用。</w:t>
      </w:r>
    </w:p>
    <w:p>
      <w:pPr>
        <w:ind w:firstLine="750" w:firstLineChars="250"/>
        <w:rPr>
          <w:sz w:val="30"/>
          <w:szCs w:val="30"/>
        </w:rPr>
      </w:pPr>
      <w:r>
        <w:rPr>
          <w:rFonts w:hint="eastAsia"/>
          <w:sz w:val="30"/>
          <w:szCs w:val="30"/>
        </w:rPr>
        <w:t>七、一般公共预算财政拨款“三公”经费决算情况</w:t>
      </w:r>
    </w:p>
    <w:p>
      <w:pPr>
        <w:ind w:firstLine="800" w:firstLineChars="250"/>
        <w:rPr>
          <w:sz w:val="30"/>
          <w:szCs w:val="30"/>
        </w:rPr>
      </w:pPr>
      <w:r>
        <w:rPr>
          <w:rFonts w:hint="eastAsia" w:ascii="仿宋_GB2312" w:hAnsi="仿宋_GB2312" w:eastAsia="仿宋_GB2312" w:cs="仿宋_GB2312"/>
          <w:color w:val="333333"/>
          <w:kern w:val="0"/>
          <w:sz w:val="32"/>
          <w:szCs w:val="32"/>
        </w:rPr>
        <w:t>洞口县统计局</w:t>
      </w:r>
      <w:r>
        <w:rPr>
          <w:rFonts w:ascii="仿宋_GB2312" w:hAnsi="仿宋_GB2312" w:eastAsia="仿宋_GB2312" w:cs="仿宋_GB2312"/>
          <w:color w:val="333333"/>
          <w:kern w:val="0"/>
          <w:sz w:val="32"/>
          <w:szCs w:val="32"/>
        </w:rPr>
        <w:t>2019</w:t>
      </w:r>
      <w:r>
        <w:rPr>
          <w:rFonts w:hint="eastAsia" w:ascii="仿宋_GB2312" w:hAnsi="仿宋_GB2312" w:eastAsia="仿宋_GB2312" w:cs="仿宋_GB2312"/>
          <w:color w:val="333333"/>
          <w:kern w:val="0"/>
          <w:sz w:val="32"/>
          <w:szCs w:val="32"/>
        </w:rPr>
        <w:t>年度“三公经费”财政拨款支出年初预算为</w:t>
      </w:r>
      <w:r>
        <w:rPr>
          <w:rFonts w:ascii="仿宋_GB2312" w:hAnsi="仿宋_GB2312" w:eastAsia="仿宋_GB2312" w:cs="仿宋_GB2312"/>
          <w:color w:val="333333"/>
          <w:kern w:val="0"/>
          <w:sz w:val="32"/>
          <w:szCs w:val="32"/>
        </w:rPr>
        <w:t>1</w:t>
      </w:r>
      <w:r>
        <w:rPr>
          <w:rFonts w:hint="eastAsia" w:ascii="仿宋_GB2312" w:hAnsi="仿宋_GB2312" w:eastAsia="仿宋_GB2312" w:cs="仿宋_GB2312"/>
          <w:color w:val="333333"/>
          <w:kern w:val="0"/>
          <w:sz w:val="32"/>
          <w:szCs w:val="32"/>
        </w:rPr>
        <w:t>万元，支出决算为</w:t>
      </w:r>
      <w:r>
        <w:rPr>
          <w:rFonts w:ascii="仿宋_GB2312" w:hAnsi="仿宋_GB2312" w:eastAsia="仿宋_GB2312" w:cs="仿宋_GB2312"/>
          <w:color w:val="333333"/>
          <w:kern w:val="0"/>
          <w:sz w:val="32"/>
          <w:szCs w:val="32"/>
        </w:rPr>
        <w:t>0.59</w:t>
      </w:r>
      <w:r>
        <w:rPr>
          <w:rFonts w:hint="eastAsia" w:ascii="仿宋_GB2312" w:hAnsi="仿宋_GB2312" w:eastAsia="仿宋_GB2312" w:cs="仿宋_GB2312"/>
          <w:color w:val="333333"/>
          <w:kern w:val="0"/>
          <w:sz w:val="32"/>
          <w:szCs w:val="32"/>
        </w:rPr>
        <w:t>万元，完成年初预算的</w:t>
      </w:r>
      <w:r>
        <w:rPr>
          <w:rFonts w:ascii="仿宋_GB2312" w:hAnsi="仿宋_GB2312" w:eastAsia="仿宋_GB2312" w:cs="仿宋_GB2312"/>
          <w:color w:val="333333"/>
          <w:kern w:val="0"/>
          <w:sz w:val="32"/>
          <w:szCs w:val="32"/>
        </w:rPr>
        <w:t>59%.</w:t>
      </w:r>
    </w:p>
    <w:p>
      <w:pPr>
        <w:ind w:firstLine="800" w:firstLineChars="25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、因公出国（境）费支出</w:t>
      </w:r>
      <w:r>
        <w:rPr>
          <w:rFonts w:ascii="仿宋_GB2312" w:eastAsia="仿宋_GB2312"/>
          <w:sz w:val="32"/>
          <w:szCs w:val="32"/>
        </w:rPr>
        <w:t>0</w:t>
      </w:r>
      <w:r>
        <w:rPr>
          <w:rFonts w:hint="eastAsia" w:ascii="仿宋_GB2312" w:eastAsia="仿宋_GB2312"/>
          <w:sz w:val="32"/>
          <w:szCs w:val="32"/>
        </w:rPr>
        <w:t>万元，共组团</w:t>
      </w:r>
      <w:r>
        <w:rPr>
          <w:rFonts w:ascii="仿宋_GB2312" w:eastAsia="仿宋_GB2312"/>
          <w:sz w:val="32"/>
          <w:szCs w:val="32"/>
        </w:rPr>
        <w:t>0</w:t>
      </w:r>
      <w:r>
        <w:rPr>
          <w:rFonts w:hint="eastAsia" w:ascii="仿宋_GB2312" w:eastAsia="仿宋_GB2312"/>
          <w:sz w:val="32"/>
          <w:szCs w:val="32"/>
        </w:rPr>
        <w:t>个</w:t>
      </w:r>
      <w:r>
        <w:rPr>
          <w:rFonts w:ascii="仿宋_GB2312" w:eastAsia="仿宋_GB2312"/>
          <w:sz w:val="32"/>
          <w:szCs w:val="32"/>
        </w:rPr>
        <w:t>0</w:t>
      </w:r>
      <w:r>
        <w:rPr>
          <w:rFonts w:hint="eastAsia" w:ascii="仿宋_GB2312" w:eastAsia="仿宋_GB2312"/>
          <w:sz w:val="32"/>
          <w:szCs w:val="32"/>
        </w:rPr>
        <w:t>人次。同预算同上年</w:t>
      </w:r>
      <w:r>
        <w:rPr>
          <w:rFonts w:ascii="仿宋_GB2312" w:eastAsia="仿宋_GB2312"/>
          <w:sz w:val="32"/>
          <w:szCs w:val="32"/>
        </w:rPr>
        <w:t>0</w:t>
      </w:r>
      <w:r>
        <w:rPr>
          <w:rFonts w:hint="eastAsia" w:ascii="仿宋_GB2312" w:eastAsia="仿宋_GB2312"/>
          <w:sz w:val="32"/>
          <w:szCs w:val="32"/>
        </w:rPr>
        <w:t>。</w:t>
      </w:r>
    </w:p>
    <w:p>
      <w:pPr>
        <w:ind w:firstLine="800" w:firstLineChars="25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、公务用车购置及运行维护费支出</w:t>
      </w:r>
      <w:r>
        <w:rPr>
          <w:rFonts w:ascii="仿宋_GB2312" w:eastAsia="仿宋_GB2312"/>
          <w:sz w:val="32"/>
          <w:szCs w:val="32"/>
        </w:rPr>
        <w:t>0</w:t>
      </w:r>
      <w:r>
        <w:rPr>
          <w:rFonts w:hint="eastAsia" w:ascii="仿宋_GB2312" w:eastAsia="仿宋_GB2312"/>
          <w:sz w:val="32"/>
          <w:szCs w:val="32"/>
        </w:rPr>
        <w:t>万元（公务用车购置费支出</w:t>
      </w:r>
      <w:r>
        <w:rPr>
          <w:rFonts w:ascii="仿宋_GB2312" w:eastAsia="仿宋_GB2312"/>
          <w:sz w:val="32"/>
          <w:szCs w:val="32"/>
        </w:rPr>
        <w:t>0</w:t>
      </w:r>
      <w:r>
        <w:rPr>
          <w:rFonts w:hint="eastAsia" w:ascii="仿宋_GB2312" w:eastAsia="仿宋_GB2312"/>
          <w:sz w:val="32"/>
          <w:szCs w:val="32"/>
        </w:rPr>
        <w:t>万元，公务用车购置</w:t>
      </w:r>
      <w:r>
        <w:rPr>
          <w:rFonts w:ascii="仿宋_GB2312" w:eastAsia="仿宋_GB2312"/>
          <w:sz w:val="32"/>
          <w:szCs w:val="32"/>
        </w:rPr>
        <w:t>0</w:t>
      </w:r>
      <w:r>
        <w:rPr>
          <w:rFonts w:hint="eastAsia" w:ascii="仿宋_GB2312" w:eastAsia="仿宋_GB2312"/>
          <w:sz w:val="32"/>
          <w:szCs w:val="32"/>
        </w:rPr>
        <w:t>台。公务用车运行维护费支出</w:t>
      </w:r>
      <w:r>
        <w:rPr>
          <w:rFonts w:ascii="仿宋_GB2312" w:eastAsia="仿宋_GB2312"/>
          <w:sz w:val="32"/>
          <w:szCs w:val="32"/>
        </w:rPr>
        <w:t>0</w:t>
      </w:r>
      <w:r>
        <w:rPr>
          <w:rFonts w:hint="eastAsia" w:ascii="仿宋_GB2312" w:eastAsia="仿宋_GB2312"/>
          <w:sz w:val="32"/>
          <w:szCs w:val="32"/>
        </w:rPr>
        <w:t>万元，公务车辆保有</w:t>
      </w:r>
      <w:r>
        <w:rPr>
          <w:rFonts w:ascii="仿宋_GB2312" w:eastAsia="仿宋_GB2312"/>
          <w:sz w:val="32"/>
          <w:szCs w:val="32"/>
        </w:rPr>
        <w:t>0</w:t>
      </w:r>
      <w:r>
        <w:rPr>
          <w:rFonts w:hint="eastAsia" w:ascii="仿宋_GB2312" w:eastAsia="仿宋_GB2312"/>
          <w:sz w:val="32"/>
          <w:szCs w:val="32"/>
        </w:rPr>
        <w:t>辆）。</w:t>
      </w:r>
    </w:p>
    <w:p>
      <w:pPr>
        <w:ind w:firstLine="640" w:firstLineChars="200"/>
        <w:rPr>
          <w:rFonts w:ascii="仿宋_GB2312" w:hAnsi="仿宋_GB2312" w:eastAsia="仿宋_GB2312" w:cs="仿宋_GB2312"/>
          <w:color w:val="333333"/>
          <w:kern w:val="0"/>
          <w:sz w:val="32"/>
          <w:szCs w:val="32"/>
        </w:rPr>
      </w:pPr>
      <w:r>
        <w:rPr>
          <w:rFonts w:ascii="仿宋_GB2312" w:eastAsia="仿宋_GB2312"/>
          <w:sz w:val="32"/>
          <w:szCs w:val="32"/>
        </w:rPr>
        <w:t>3</w:t>
      </w:r>
      <w:r>
        <w:rPr>
          <w:rFonts w:hint="eastAsia" w:ascii="仿宋_GB2312" w:eastAsia="仿宋_GB2312"/>
          <w:sz w:val="32"/>
          <w:szCs w:val="32"/>
        </w:rPr>
        <w:t>、</w:t>
      </w:r>
      <w:r>
        <w:rPr>
          <w:rFonts w:hint="eastAsia" w:ascii="仿宋_GB2312" w:hAnsi="仿宋_GB2312" w:eastAsia="仿宋_GB2312" w:cs="仿宋_GB2312"/>
          <w:color w:val="333333"/>
          <w:kern w:val="0"/>
          <w:sz w:val="32"/>
          <w:szCs w:val="32"/>
        </w:rPr>
        <w:t>公务接待费支出决算为</w:t>
      </w:r>
      <w:r>
        <w:rPr>
          <w:rFonts w:ascii="仿宋_GB2312" w:hAnsi="仿宋_GB2312" w:eastAsia="仿宋_GB2312" w:cs="仿宋_GB2312"/>
          <w:color w:val="333333"/>
          <w:kern w:val="0"/>
          <w:sz w:val="32"/>
          <w:szCs w:val="32"/>
        </w:rPr>
        <w:t>0.59</w:t>
      </w:r>
      <w:r>
        <w:rPr>
          <w:rFonts w:hint="eastAsia" w:ascii="仿宋_GB2312" w:hAnsi="仿宋_GB2312" w:eastAsia="仿宋_GB2312" w:cs="仿宋_GB2312"/>
          <w:color w:val="333333"/>
          <w:kern w:val="0"/>
          <w:sz w:val="32"/>
          <w:szCs w:val="32"/>
        </w:rPr>
        <w:t>万元，接待批次</w:t>
      </w:r>
      <w:r>
        <w:rPr>
          <w:rFonts w:ascii="仿宋_GB2312" w:hAnsi="仿宋_GB2312" w:eastAsia="仿宋_GB2312" w:cs="仿宋_GB2312"/>
          <w:color w:val="333333"/>
          <w:kern w:val="0"/>
          <w:sz w:val="32"/>
          <w:szCs w:val="32"/>
        </w:rPr>
        <w:t>12</w:t>
      </w:r>
      <w:r>
        <w:rPr>
          <w:rFonts w:hint="eastAsia" w:ascii="仿宋_GB2312" w:hAnsi="仿宋_GB2312" w:eastAsia="仿宋_GB2312" w:cs="仿宋_GB2312"/>
          <w:color w:val="333333"/>
          <w:kern w:val="0"/>
          <w:sz w:val="32"/>
          <w:szCs w:val="32"/>
        </w:rPr>
        <w:t>次，接待人数</w:t>
      </w:r>
      <w:r>
        <w:rPr>
          <w:rFonts w:ascii="仿宋_GB2312" w:hAnsi="仿宋_GB2312" w:eastAsia="仿宋_GB2312" w:cs="仿宋_GB2312"/>
          <w:color w:val="333333"/>
          <w:kern w:val="0"/>
          <w:sz w:val="32"/>
          <w:szCs w:val="32"/>
        </w:rPr>
        <w:t>60</w:t>
      </w:r>
      <w:r>
        <w:rPr>
          <w:rFonts w:hint="eastAsia" w:ascii="仿宋_GB2312" w:hAnsi="仿宋_GB2312" w:eastAsia="仿宋_GB2312" w:cs="仿宋_GB2312"/>
          <w:color w:val="333333"/>
          <w:kern w:val="0"/>
          <w:sz w:val="32"/>
          <w:szCs w:val="32"/>
        </w:rPr>
        <w:t>人次，完成年初预算的</w:t>
      </w:r>
      <w:r>
        <w:rPr>
          <w:rFonts w:ascii="仿宋_GB2312" w:hAnsi="仿宋_GB2312" w:eastAsia="仿宋_GB2312" w:cs="仿宋_GB2312"/>
          <w:color w:val="333333"/>
          <w:kern w:val="0"/>
          <w:sz w:val="32"/>
          <w:szCs w:val="32"/>
        </w:rPr>
        <w:t>59%</w:t>
      </w:r>
      <w:r>
        <w:rPr>
          <w:rFonts w:hint="eastAsia" w:ascii="仿宋_GB2312" w:hAnsi="仿宋_GB2312" w:eastAsia="仿宋_GB2312" w:cs="仿宋_GB2312"/>
          <w:color w:val="333333"/>
          <w:kern w:val="0"/>
          <w:sz w:val="32"/>
          <w:szCs w:val="32"/>
        </w:rPr>
        <w:t>。</w:t>
      </w:r>
    </w:p>
    <w:p>
      <w:pPr>
        <w:ind w:firstLine="640" w:firstLineChars="200"/>
        <w:rPr>
          <w:rFonts w:ascii="仿宋_GB2312" w:eastAsia="仿宋_GB2312"/>
          <w:sz w:val="32"/>
          <w:szCs w:val="32"/>
        </w:rPr>
      </w:pPr>
      <w:r>
        <w:rPr>
          <w:rFonts w:hint="eastAsia" w:ascii="仿宋_GB2312" w:hAnsi="仿宋_GB2312" w:eastAsia="仿宋_GB2312" w:cs="仿宋_GB2312"/>
          <w:color w:val="333333"/>
          <w:kern w:val="0"/>
          <w:sz w:val="32"/>
          <w:szCs w:val="32"/>
        </w:rPr>
        <w:t>八、政府性基金预算财政拨款收入支出决算情况</w:t>
      </w:r>
    </w:p>
    <w:p>
      <w:pPr>
        <w:ind w:firstLine="640" w:firstLineChars="200"/>
        <w:rPr>
          <w:rFonts w:ascii="仿宋_GB2312" w:eastAsia="仿宋_GB2312"/>
          <w:sz w:val="32"/>
          <w:szCs w:val="32"/>
        </w:rPr>
      </w:pPr>
      <w:r>
        <w:rPr>
          <w:rFonts w:ascii="仿宋_GB2312" w:hAnsi="仿宋_GB2312" w:eastAsia="仿宋_GB2312" w:cs="仿宋_GB2312"/>
          <w:color w:val="333333"/>
          <w:kern w:val="0"/>
          <w:sz w:val="32"/>
          <w:szCs w:val="32"/>
        </w:rPr>
        <w:t>2019</w:t>
      </w:r>
      <w:r>
        <w:rPr>
          <w:rFonts w:hint="eastAsia" w:ascii="仿宋_GB2312" w:hAnsi="仿宋_GB2312" w:eastAsia="仿宋_GB2312" w:cs="仿宋_GB2312"/>
          <w:color w:val="333333"/>
          <w:kern w:val="0"/>
          <w:sz w:val="32"/>
          <w:szCs w:val="32"/>
        </w:rPr>
        <w:t>年没有政府性基金收入，也没有使用政府性基金安排的支出没有政府性基金预算财政拨款预算，因此无政府性基金预算财政拨款收入支出。</w:t>
      </w:r>
    </w:p>
    <w:p>
      <w:pPr>
        <w:ind w:firstLine="640" w:firstLineChars="200"/>
        <w:rPr>
          <w:rFonts w:ascii="仿宋_GB2312" w:eastAsia="仿宋_GB2312"/>
          <w:sz w:val="32"/>
          <w:szCs w:val="32"/>
        </w:rPr>
      </w:pPr>
      <w:r>
        <w:rPr>
          <w:rFonts w:hint="eastAsia" w:ascii="仿宋_GB2312" w:hAnsi="仿宋_GB2312" w:eastAsia="仿宋_GB2312" w:cs="仿宋_GB2312"/>
          <w:bCs/>
          <w:color w:val="333333"/>
          <w:kern w:val="0"/>
          <w:sz w:val="32"/>
          <w:szCs w:val="32"/>
        </w:rPr>
        <w:t>九、预算绩效情况说明</w:t>
      </w:r>
    </w:p>
    <w:p>
      <w:pPr>
        <w:ind w:firstLine="640" w:firstLineChars="200"/>
        <w:rPr>
          <w:rFonts w:ascii="仿宋_GB2312" w:eastAsia="仿宋_GB2312"/>
          <w:sz w:val="32"/>
          <w:szCs w:val="32"/>
        </w:rPr>
      </w:pPr>
      <w:r>
        <w:rPr>
          <w:rFonts w:hint="eastAsia" w:ascii="仿宋_GB2312" w:eastAsia="仿宋_GB2312"/>
          <w:sz w:val="32"/>
          <w:szCs w:val="32"/>
        </w:rPr>
        <w:t>本单位按要求对</w:t>
      </w:r>
      <w:r>
        <w:rPr>
          <w:rFonts w:ascii="仿宋_GB2312" w:eastAsia="仿宋_GB2312"/>
          <w:sz w:val="32"/>
          <w:szCs w:val="32"/>
        </w:rPr>
        <w:t>2019</w:t>
      </w:r>
      <w:r>
        <w:rPr>
          <w:rFonts w:hint="eastAsia" w:ascii="仿宋_GB2312" w:eastAsia="仿宋_GB2312"/>
          <w:sz w:val="32"/>
          <w:szCs w:val="32"/>
        </w:rPr>
        <w:t>年部门整体支出开展预算绩效管理工作，各项重点工作有序推进，目标任务全面完成，实现了年初预算绩效目标。我单位将进一步加强财政资金预算绩效管理，更加科学合理编制经费预算，进一步完善财务管理制度及内部控制制度，加强“三公”经费管理，规范财务核算，提高财政资金使用效率。</w:t>
      </w:r>
    </w:p>
    <w:p>
      <w:pPr>
        <w:ind w:firstLine="640" w:firstLineChars="200"/>
        <w:rPr>
          <w:rFonts w:ascii="仿宋_GB2312" w:eastAsia="仿宋_GB2312"/>
          <w:sz w:val="32"/>
          <w:szCs w:val="32"/>
        </w:rPr>
      </w:pPr>
      <w:r>
        <w:rPr>
          <w:rFonts w:hint="eastAsia" w:ascii="仿宋_GB2312" w:eastAsia="仿宋_GB2312"/>
          <w:sz w:val="32"/>
          <w:szCs w:val="32"/>
        </w:rPr>
        <w:t>十、其他重要事项的情况说明</w:t>
      </w:r>
    </w:p>
    <w:p>
      <w:pPr>
        <w:ind w:firstLine="800" w:firstLineChars="25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、机关运行经费</w:t>
      </w:r>
    </w:p>
    <w:p>
      <w:pPr>
        <w:ind w:firstLine="800" w:firstLineChars="250"/>
        <w:rPr>
          <w:rFonts w:ascii="仿宋_GB2312" w:eastAsia="仿宋_GB2312"/>
          <w:sz w:val="32"/>
          <w:szCs w:val="32"/>
        </w:rPr>
      </w:pPr>
      <w:r>
        <w:rPr>
          <w:rFonts w:hint="eastAsia" w:ascii="仿宋_GB2312" w:eastAsia="仿宋_GB2312"/>
          <w:sz w:val="32"/>
          <w:szCs w:val="32"/>
        </w:rPr>
        <w:t>本年度一般公共预算财政拨款开支的机关运行经费</w:t>
      </w:r>
      <w:r>
        <w:rPr>
          <w:rFonts w:ascii="仿宋_GB2312" w:eastAsia="仿宋_GB2312"/>
          <w:sz w:val="32"/>
          <w:szCs w:val="32"/>
        </w:rPr>
        <w:t>677.83</w:t>
      </w:r>
      <w:r>
        <w:rPr>
          <w:rFonts w:hint="eastAsia" w:ascii="仿宋_GB2312" w:eastAsia="仿宋_GB2312"/>
          <w:sz w:val="32"/>
          <w:szCs w:val="32"/>
        </w:rPr>
        <w:t>万元，增加原因是统计专项工作与经济普查工作等方面的开支增加。</w:t>
      </w:r>
      <w:r>
        <w:rPr>
          <w:rFonts w:ascii="仿宋_GB2312" w:eastAsia="仿宋_GB2312"/>
          <w:sz w:val="32"/>
          <w:szCs w:val="32"/>
        </w:rPr>
        <w:t xml:space="preserve">    </w:t>
      </w:r>
    </w:p>
    <w:p>
      <w:pPr>
        <w:ind w:firstLine="800" w:firstLineChars="250"/>
        <w:rPr>
          <w:rFonts w:ascii="仿宋_GB2312" w:eastAsia="仿宋_GB2312"/>
          <w:sz w:val="32"/>
          <w:szCs w:val="32"/>
        </w:rPr>
      </w:pPr>
      <w:r>
        <w:rPr>
          <w:rFonts w:ascii="仿宋_GB2312" w:hAnsi="仿宋_GB2312" w:eastAsia="仿宋_GB2312" w:cs="仿宋_GB2312"/>
          <w:bCs/>
          <w:color w:val="333333"/>
          <w:kern w:val="0"/>
          <w:sz w:val="32"/>
          <w:szCs w:val="32"/>
        </w:rPr>
        <w:t>2</w:t>
      </w:r>
      <w:r>
        <w:rPr>
          <w:rFonts w:hint="eastAsia" w:ascii="仿宋_GB2312" w:hAnsi="仿宋_GB2312" w:eastAsia="仿宋_GB2312" w:cs="仿宋_GB2312"/>
          <w:bCs/>
          <w:color w:val="333333"/>
          <w:kern w:val="0"/>
          <w:sz w:val="32"/>
          <w:szCs w:val="32"/>
        </w:rPr>
        <w:t>、政府采购支出情况</w:t>
      </w:r>
    </w:p>
    <w:p>
      <w:pPr>
        <w:ind w:firstLine="800" w:firstLineChars="250"/>
        <w:rPr>
          <w:rFonts w:ascii="仿宋_GB2312" w:eastAsia="仿宋_GB2312"/>
          <w:sz w:val="32"/>
          <w:szCs w:val="32"/>
        </w:rPr>
      </w:pPr>
      <w:r>
        <w:rPr>
          <w:rFonts w:ascii="仿宋_GB2312" w:hAnsi="仿宋_GB2312" w:eastAsia="仿宋_GB2312" w:cs="仿宋_GB2312"/>
          <w:color w:val="333333"/>
          <w:kern w:val="0"/>
          <w:sz w:val="32"/>
          <w:szCs w:val="32"/>
        </w:rPr>
        <w:t>2019</w:t>
      </w:r>
      <w:r>
        <w:rPr>
          <w:rFonts w:hint="eastAsia" w:ascii="仿宋_GB2312" w:hAnsi="仿宋_GB2312" w:eastAsia="仿宋_GB2312" w:cs="仿宋_GB2312"/>
          <w:color w:val="333333"/>
          <w:kern w:val="0"/>
          <w:sz w:val="32"/>
          <w:szCs w:val="32"/>
        </w:rPr>
        <w:t>年度政府采购支出总额</w:t>
      </w:r>
      <w:r>
        <w:rPr>
          <w:rFonts w:ascii="仿宋_GB2312" w:hAnsi="仿宋_GB2312" w:eastAsia="仿宋_GB2312" w:cs="仿宋_GB2312"/>
          <w:color w:val="333333"/>
          <w:kern w:val="0"/>
          <w:sz w:val="32"/>
          <w:szCs w:val="32"/>
        </w:rPr>
        <w:t>9</w:t>
      </w:r>
      <w:r>
        <w:rPr>
          <w:rFonts w:hint="eastAsia" w:ascii="仿宋_GB2312" w:hAnsi="仿宋_GB2312" w:eastAsia="仿宋_GB2312" w:cs="仿宋_GB2312"/>
          <w:color w:val="333333"/>
          <w:kern w:val="0"/>
          <w:sz w:val="32"/>
          <w:szCs w:val="32"/>
        </w:rPr>
        <w:t>万元，其中：政府采购货物支出</w:t>
      </w:r>
      <w:r>
        <w:rPr>
          <w:rFonts w:ascii="仿宋_GB2312" w:hAnsi="仿宋_GB2312" w:eastAsia="仿宋_GB2312" w:cs="仿宋_GB2312"/>
          <w:color w:val="333333"/>
          <w:kern w:val="0"/>
          <w:sz w:val="32"/>
          <w:szCs w:val="32"/>
        </w:rPr>
        <w:t>9</w:t>
      </w:r>
      <w:r>
        <w:rPr>
          <w:rFonts w:hint="eastAsia" w:ascii="仿宋_GB2312" w:hAnsi="仿宋_GB2312" w:eastAsia="仿宋_GB2312" w:cs="仿宋_GB2312"/>
          <w:color w:val="333333"/>
          <w:kern w:val="0"/>
          <w:sz w:val="32"/>
          <w:szCs w:val="32"/>
        </w:rPr>
        <w:t>万元</w:t>
      </w:r>
      <w:r>
        <w:rPr>
          <w:rFonts w:hint="eastAsia" w:ascii="仿宋_GB2312" w:hAnsi="仿宋_GB2312" w:eastAsia="仿宋_GB2312" w:cs="仿宋_GB2312"/>
          <w:color w:val="333333"/>
          <w:kern w:val="0"/>
          <w:sz w:val="32"/>
          <w:szCs w:val="32"/>
          <w:lang w:eastAsia="zh-CN"/>
        </w:rPr>
        <w:t>，授予中小企业的合同金额</w:t>
      </w:r>
      <w:r>
        <w:rPr>
          <w:rFonts w:hint="eastAsia" w:ascii="仿宋_GB2312" w:hAnsi="仿宋_GB2312" w:eastAsia="仿宋_GB2312" w:cs="仿宋_GB2312"/>
          <w:color w:val="333333"/>
          <w:kern w:val="0"/>
          <w:sz w:val="32"/>
          <w:szCs w:val="32"/>
          <w:lang w:val="en-US" w:eastAsia="zh-CN"/>
        </w:rPr>
        <w:t>9</w:t>
      </w:r>
      <w:r>
        <w:rPr>
          <w:rFonts w:hint="eastAsia" w:ascii="仿宋_GB2312" w:hAnsi="仿宋_GB2312" w:eastAsia="仿宋_GB2312" w:cs="仿宋_GB2312"/>
          <w:color w:val="333333"/>
          <w:kern w:val="0"/>
          <w:sz w:val="32"/>
          <w:szCs w:val="32"/>
          <w:lang w:eastAsia="zh-CN"/>
        </w:rPr>
        <w:t>万元，占政府采购支出总金额的比重为100%。</w:t>
      </w:r>
      <w:bookmarkStart w:id="0" w:name="_GoBack"/>
      <w:bookmarkEnd w:id="0"/>
    </w:p>
    <w:p>
      <w:pPr>
        <w:ind w:firstLine="800" w:firstLineChars="250"/>
        <w:rPr>
          <w:rFonts w:ascii="仿宋_GB2312" w:eastAsia="仿宋_GB2312"/>
          <w:sz w:val="32"/>
          <w:szCs w:val="32"/>
        </w:rPr>
      </w:pPr>
      <w:r>
        <w:rPr>
          <w:rFonts w:ascii="仿宋_GB2312" w:hAnsi="仿宋_GB2312" w:eastAsia="仿宋_GB2312" w:cs="仿宋_GB2312"/>
          <w:bCs/>
          <w:color w:val="333333"/>
          <w:kern w:val="0"/>
          <w:sz w:val="32"/>
          <w:szCs w:val="32"/>
        </w:rPr>
        <w:t>3</w:t>
      </w:r>
      <w:r>
        <w:rPr>
          <w:rFonts w:hint="eastAsia" w:ascii="仿宋_GB2312" w:hAnsi="仿宋_GB2312" w:eastAsia="仿宋_GB2312" w:cs="仿宋_GB2312"/>
          <w:bCs/>
          <w:color w:val="333333"/>
          <w:kern w:val="0"/>
          <w:sz w:val="32"/>
          <w:szCs w:val="32"/>
        </w:rPr>
        <w:t>、国有资产占用情况</w:t>
      </w:r>
    </w:p>
    <w:p>
      <w:pPr>
        <w:ind w:firstLine="800" w:firstLineChars="250"/>
        <w:rPr>
          <w:rFonts w:ascii="仿宋_GB2312" w:eastAsia="仿宋_GB2312"/>
          <w:sz w:val="32"/>
          <w:szCs w:val="32"/>
        </w:rPr>
      </w:pPr>
      <w:r>
        <w:rPr>
          <w:rFonts w:hint="eastAsia" w:ascii="仿宋_GB2312" w:hAnsi="仿宋_GB2312" w:eastAsia="仿宋_GB2312" w:cs="仿宋_GB2312"/>
          <w:color w:val="333333"/>
          <w:kern w:val="0"/>
          <w:sz w:val="32"/>
          <w:szCs w:val="32"/>
        </w:rPr>
        <w:t>截至</w:t>
      </w:r>
      <w:r>
        <w:rPr>
          <w:rFonts w:ascii="仿宋_GB2312" w:hAnsi="仿宋_GB2312" w:eastAsia="仿宋_GB2312" w:cs="仿宋_GB2312"/>
          <w:color w:val="333333"/>
          <w:kern w:val="0"/>
          <w:sz w:val="32"/>
          <w:szCs w:val="32"/>
        </w:rPr>
        <w:t>2019</w:t>
      </w:r>
      <w:r>
        <w:rPr>
          <w:rFonts w:hint="eastAsia" w:ascii="仿宋_GB2312" w:hAnsi="仿宋_GB2312" w:eastAsia="仿宋_GB2312" w:cs="仿宋_GB2312"/>
          <w:color w:val="333333"/>
          <w:kern w:val="0"/>
          <w:sz w:val="32"/>
          <w:szCs w:val="32"/>
        </w:rPr>
        <w:t>年</w:t>
      </w:r>
      <w:r>
        <w:rPr>
          <w:rFonts w:ascii="仿宋_GB2312" w:hAnsi="仿宋_GB2312" w:eastAsia="仿宋_GB2312" w:cs="仿宋_GB2312"/>
          <w:color w:val="333333"/>
          <w:kern w:val="0"/>
          <w:sz w:val="32"/>
          <w:szCs w:val="32"/>
        </w:rPr>
        <w:t>12</w:t>
      </w:r>
      <w:r>
        <w:rPr>
          <w:rFonts w:hint="eastAsia" w:ascii="仿宋_GB2312" w:hAnsi="仿宋_GB2312" w:eastAsia="仿宋_GB2312" w:cs="仿宋_GB2312"/>
          <w:color w:val="333333"/>
          <w:kern w:val="0"/>
          <w:sz w:val="32"/>
          <w:szCs w:val="32"/>
        </w:rPr>
        <w:t>月</w:t>
      </w:r>
      <w:r>
        <w:rPr>
          <w:rFonts w:ascii="仿宋_GB2312" w:hAnsi="仿宋_GB2312" w:eastAsia="仿宋_GB2312" w:cs="仿宋_GB2312"/>
          <w:color w:val="333333"/>
          <w:kern w:val="0"/>
          <w:sz w:val="32"/>
          <w:szCs w:val="32"/>
        </w:rPr>
        <w:t>31</w:t>
      </w:r>
      <w:r>
        <w:rPr>
          <w:rFonts w:hint="eastAsia" w:ascii="仿宋_GB2312" w:hAnsi="仿宋_GB2312" w:eastAsia="仿宋_GB2312" w:cs="仿宋_GB2312"/>
          <w:color w:val="333333"/>
          <w:kern w:val="0"/>
          <w:sz w:val="32"/>
          <w:szCs w:val="32"/>
        </w:rPr>
        <w:t>日，本部门共有车辆</w:t>
      </w:r>
      <w:r>
        <w:rPr>
          <w:rFonts w:ascii="仿宋_GB2312" w:hAnsi="仿宋_GB2312" w:eastAsia="仿宋_GB2312" w:cs="仿宋_GB2312"/>
          <w:color w:val="333333"/>
          <w:kern w:val="0"/>
          <w:sz w:val="32"/>
          <w:szCs w:val="32"/>
        </w:rPr>
        <w:t>0</w:t>
      </w:r>
      <w:r>
        <w:rPr>
          <w:rFonts w:hint="eastAsia" w:ascii="仿宋_GB2312" w:hAnsi="仿宋_GB2312" w:eastAsia="仿宋_GB2312" w:cs="仿宋_GB2312"/>
          <w:color w:val="333333"/>
          <w:kern w:val="0"/>
          <w:sz w:val="32"/>
          <w:szCs w:val="32"/>
        </w:rPr>
        <w:t>辆，单位无价值</w:t>
      </w:r>
      <w:r>
        <w:rPr>
          <w:rFonts w:ascii="仿宋_GB2312" w:hAnsi="仿宋_GB2312" w:eastAsia="仿宋_GB2312" w:cs="仿宋_GB2312"/>
          <w:color w:val="333333"/>
          <w:kern w:val="0"/>
          <w:sz w:val="32"/>
          <w:szCs w:val="32"/>
        </w:rPr>
        <w:t>10</w:t>
      </w:r>
      <w:r>
        <w:rPr>
          <w:rFonts w:hint="eastAsia" w:ascii="仿宋_GB2312" w:hAnsi="仿宋_GB2312" w:eastAsia="仿宋_GB2312" w:cs="仿宋_GB2312"/>
          <w:color w:val="333333"/>
          <w:kern w:val="0"/>
          <w:sz w:val="32"/>
          <w:szCs w:val="32"/>
        </w:rPr>
        <w:t>万元以上通用设备；单位无价值</w:t>
      </w:r>
      <w:r>
        <w:rPr>
          <w:rFonts w:ascii="仿宋_GB2312" w:hAnsi="仿宋_GB2312" w:eastAsia="仿宋_GB2312" w:cs="仿宋_GB2312"/>
          <w:color w:val="333333"/>
          <w:kern w:val="0"/>
          <w:sz w:val="32"/>
          <w:szCs w:val="32"/>
        </w:rPr>
        <w:t>20</w:t>
      </w:r>
      <w:r>
        <w:rPr>
          <w:rFonts w:hint="eastAsia" w:ascii="仿宋_GB2312" w:hAnsi="仿宋_GB2312" w:eastAsia="仿宋_GB2312" w:cs="仿宋_GB2312"/>
          <w:color w:val="333333"/>
          <w:kern w:val="0"/>
          <w:sz w:val="32"/>
          <w:szCs w:val="32"/>
        </w:rPr>
        <w:t>万元以上专用设备。</w:t>
      </w:r>
    </w:p>
    <w:p>
      <w:pPr>
        <w:ind w:firstLine="750" w:firstLineChars="250"/>
        <w:rPr>
          <w:sz w:val="30"/>
          <w:szCs w:val="30"/>
        </w:rPr>
      </w:pPr>
      <w:r>
        <w:rPr>
          <w:rFonts w:hint="eastAsia"/>
          <w:sz w:val="30"/>
          <w:szCs w:val="30"/>
        </w:rPr>
        <w:t>第三部分</w:t>
      </w:r>
      <w:r>
        <w:rPr>
          <w:sz w:val="30"/>
          <w:szCs w:val="30"/>
        </w:rPr>
        <w:t xml:space="preserve">  </w:t>
      </w:r>
      <w:r>
        <w:rPr>
          <w:rFonts w:hint="eastAsia"/>
          <w:sz w:val="30"/>
          <w:szCs w:val="30"/>
        </w:rPr>
        <w:t>名词解释</w:t>
      </w:r>
    </w:p>
    <w:p>
      <w:pPr>
        <w:ind w:firstLine="950" w:firstLineChars="250"/>
        <w:rPr>
          <w:sz w:val="30"/>
          <w:szCs w:val="30"/>
        </w:rPr>
      </w:pPr>
      <w:r>
        <w:rPr>
          <w:rFonts w:ascii="仿宋_GB2312" w:hAnsi="宋体" w:eastAsia="仿宋_GB2312" w:cs="仿宋_GB2312"/>
          <w:color w:val="000000"/>
          <w:spacing w:val="30"/>
          <w:kern w:val="0"/>
          <w:sz w:val="32"/>
          <w:szCs w:val="32"/>
        </w:rPr>
        <w:t>1</w:t>
      </w:r>
      <w:r>
        <w:rPr>
          <w:rFonts w:hint="eastAsia" w:ascii="仿宋_GB2312" w:hAnsi="宋体" w:eastAsia="仿宋_GB2312" w:cs="仿宋_GB2312"/>
          <w:color w:val="000000"/>
          <w:spacing w:val="30"/>
          <w:kern w:val="0"/>
          <w:sz w:val="32"/>
          <w:szCs w:val="32"/>
        </w:rPr>
        <w:t>．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ind w:firstLine="1140" w:firstLineChars="300"/>
        <w:rPr>
          <w:sz w:val="30"/>
          <w:szCs w:val="30"/>
        </w:rPr>
      </w:pPr>
      <w:r>
        <w:rPr>
          <w:rFonts w:ascii="仿宋_GB2312" w:hAnsi="宋体" w:eastAsia="仿宋_GB2312" w:cs="仿宋_GB2312"/>
          <w:color w:val="000000"/>
          <w:spacing w:val="30"/>
          <w:kern w:val="0"/>
          <w:sz w:val="32"/>
          <w:szCs w:val="32"/>
        </w:rPr>
        <w:t>2</w:t>
      </w:r>
      <w:r>
        <w:rPr>
          <w:rFonts w:hint="eastAsia" w:ascii="仿宋_GB2312" w:hAnsi="宋体" w:eastAsia="仿宋_GB2312" w:cs="仿宋_GB2312"/>
          <w:color w:val="000000"/>
          <w:spacing w:val="30"/>
          <w:kern w:val="0"/>
          <w:sz w:val="32"/>
          <w:szCs w:val="32"/>
        </w:rPr>
        <w:t>．“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ind w:firstLine="600" w:firstLineChars="200"/>
        <w:rPr>
          <w:sz w:val="30"/>
          <w:szCs w:val="30"/>
        </w:rPr>
      </w:pPr>
      <w:r>
        <w:rPr>
          <w:rFonts w:hint="eastAsia"/>
          <w:sz w:val="30"/>
          <w:szCs w:val="30"/>
        </w:rPr>
        <w:t>第四部分</w:t>
      </w:r>
      <w:r>
        <w:rPr>
          <w:sz w:val="30"/>
          <w:szCs w:val="30"/>
        </w:rPr>
        <w:t xml:space="preserve">  </w:t>
      </w:r>
      <w:r>
        <w:rPr>
          <w:rFonts w:hint="eastAsia"/>
          <w:sz w:val="30"/>
          <w:szCs w:val="30"/>
        </w:rPr>
        <w:t>附表：本单位</w:t>
      </w:r>
      <w:r>
        <w:rPr>
          <w:sz w:val="30"/>
          <w:szCs w:val="30"/>
        </w:rPr>
        <w:t>2019</w:t>
      </w:r>
      <w:r>
        <w:rPr>
          <w:rFonts w:hint="eastAsia"/>
          <w:sz w:val="30"/>
          <w:szCs w:val="30"/>
        </w:rPr>
        <w:t>年度部门决算表</w:t>
      </w:r>
    </w:p>
    <w:p>
      <w:pPr>
        <w:rPr>
          <w:sz w:val="30"/>
          <w:szCs w:val="30"/>
        </w:rPr>
      </w:pPr>
    </w:p>
    <w:p>
      <w:pPr>
        <w:rPr>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tbl>
      <w:tblPr>
        <w:tblStyle w:val="8"/>
        <w:tblW w:w="13897" w:type="dxa"/>
        <w:tblInd w:w="93" w:type="dxa"/>
        <w:tblLayout w:type="fixed"/>
        <w:tblCellMar>
          <w:top w:w="0" w:type="dxa"/>
          <w:left w:w="108" w:type="dxa"/>
          <w:bottom w:w="0" w:type="dxa"/>
          <w:right w:w="108" w:type="dxa"/>
        </w:tblCellMar>
      </w:tblPr>
      <w:tblGrid>
        <w:gridCol w:w="4004"/>
        <w:gridCol w:w="621"/>
        <w:gridCol w:w="1118"/>
        <w:gridCol w:w="5392"/>
        <w:gridCol w:w="621"/>
        <w:gridCol w:w="2141"/>
      </w:tblGrid>
      <w:tr>
        <w:tblPrEx>
          <w:tblLayout w:type="fixed"/>
          <w:tblCellMar>
            <w:top w:w="0" w:type="dxa"/>
            <w:left w:w="108" w:type="dxa"/>
            <w:bottom w:w="0" w:type="dxa"/>
            <w:right w:w="108" w:type="dxa"/>
          </w:tblCellMar>
        </w:tblPrEx>
        <w:trPr>
          <w:trHeight w:val="403" w:hRule="atLeast"/>
        </w:trPr>
        <w:tc>
          <w:tcPr>
            <w:tcW w:w="400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510" w:type="dxa"/>
            <w:gridSpan w:val="2"/>
            <w:tcBorders>
              <w:top w:val="nil"/>
              <w:left w:val="nil"/>
              <w:bottom w:val="nil"/>
              <w:right w:val="nil"/>
            </w:tcBorders>
            <w:vAlign w:val="bottom"/>
          </w:tcPr>
          <w:p>
            <w:pPr>
              <w:widowControl/>
              <w:jc w:val="center"/>
              <w:rPr>
                <w:rFonts w:ascii="宋体" w:cs="Arial"/>
                <w:color w:val="000000"/>
                <w:kern w:val="0"/>
                <w:sz w:val="30"/>
                <w:szCs w:val="30"/>
              </w:rPr>
            </w:pPr>
            <w:r>
              <w:rPr>
                <w:rFonts w:hint="eastAsia" w:ascii="宋体" w:hAnsi="宋体" w:cs="Arial"/>
                <w:color w:val="000000"/>
                <w:kern w:val="0"/>
                <w:sz w:val="30"/>
                <w:szCs w:val="30"/>
              </w:rPr>
              <w:t>收入支出决算总表</w:t>
            </w:r>
          </w:p>
        </w:tc>
        <w:tc>
          <w:tcPr>
            <w:tcW w:w="6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141"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3" w:hRule="atLeast"/>
        </w:trPr>
        <w:tc>
          <w:tcPr>
            <w:tcW w:w="400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1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39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141" w:type="dxa"/>
            <w:tcBorders>
              <w:top w:val="nil"/>
              <w:left w:val="nil"/>
              <w:bottom w:val="nil"/>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18"/>
                <w:szCs w:val="18"/>
              </w:rPr>
              <w:t>公开</w:t>
            </w:r>
            <w:r>
              <w:rPr>
                <w:rFonts w:ascii="宋体" w:cs="Arial"/>
                <w:color w:val="000000"/>
                <w:kern w:val="0"/>
                <w:sz w:val="18"/>
                <w:szCs w:val="18"/>
              </w:rPr>
              <w:t>0</w:t>
            </w:r>
            <w:r>
              <w:rPr>
                <w:rFonts w:ascii="宋体" w:hAnsi="宋体" w:cs="Arial"/>
                <w:color w:val="000000"/>
                <w:kern w:val="0"/>
                <w:sz w:val="18"/>
                <w:szCs w:val="18"/>
              </w:rPr>
              <w:t>1</w:t>
            </w:r>
            <w:r>
              <w:rPr>
                <w:rFonts w:hint="eastAsia" w:ascii="宋体" w:hAnsi="宋体" w:cs="Arial"/>
                <w:color w:val="000000"/>
                <w:kern w:val="0"/>
                <w:sz w:val="20"/>
                <w:szCs w:val="20"/>
              </w:rPr>
              <w:t>表</w:t>
            </w:r>
          </w:p>
        </w:tc>
      </w:tr>
      <w:tr>
        <w:tblPrEx>
          <w:tblLayout w:type="fixed"/>
          <w:tblCellMar>
            <w:top w:w="0" w:type="dxa"/>
            <w:left w:w="108" w:type="dxa"/>
            <w:bottom w:w="0" w:type="dxa"/>
            <w:right w:w="108" w:type="dxa"/>
          </w:tblCellMar>
        </w:tblPrEx>
        <w:trPr>
          <w:trHeight w:val="263" w:hRule="atLeast"/>
        </w:trPr>
        <w:tc>
          <w:tcPr>
            <w:tcW w:w="4004" w:type="dxa"/>
            <w:tcBorders>
              <w:top w:val="nil"/>
              <w:left w:val="nil"/>
              <w:bottom w:val="nil"/>
              <w:right w:val="nil"/>
            </w:tcBorders>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部门：洞口县统计局</w:t>
            </w:r>
          </w:p>
        </w:tc>
        <w:tc>
          <w:tcPr>
            <w:tcW w:w="6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1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39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141" w:type="dxa"/>
            <w:tcBorders>
              <w:top w:val="nil"/>
              <w:left w:val="nil"/>
              <w:bottom w:val="nil"/>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18" w:hRule="atLeast"/>
        </w:trPr>
        <w:tc>
          <w:tcPr>
            <w:tcW w:w="5743"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收入</w:t>
            </w:r>
          </w:p>
        </w:tc>
        <w:tc>
          <w:tcPr>
            <w:tcW w:w="8154"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支出</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行次</w:t>
            </w:r>
          </w:p>
        </w:tc>
        <w:tc>
          <w:tcPr>
            <w:tcW w:w="111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金额</w:t>
            </w:r>
          </w:p>
        </w:tc>
        <w:tc>
          <w:tcPr>
            <w:tcW w:w="5392"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行次</w:t>
            </w:r>
          </w:p>
        </w:tc>
        <w:tc>
          <w:tcPr>
            <w:tcW w:w="214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金额</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栏次</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c>
          <w:tcPr>
            <w:tcW w:w="111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5392"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栏次</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c>
          <w:tcPr>
            <w:tcW w:w="214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一、一般公共预算财政拨款收入</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677.83</w:t>
            </w:r>
          </w:p>
        </w:tc>
        <w:tc>
          <w:tcPr>
            <w:tcW w:w="539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一、一般公共服务支出</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29</w:t>
            </w:r>
          </w:p>
        </w:tc>
        <w:tc>
          <w:tcPr>
            <w:tcW w:w="214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609.17</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二、政府性基金预算财政拨款收入</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539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二、外交支出</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30</w:t>
            </w:r>
          </w:p>
        </w:tc>
        <w:tc>
          <w:tcPr>
            <w:tcW w:w="214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三、上级补助收入</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539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三、国防支出</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31</w:t>
            </w:r>
          </w:p>
        </w:tc>
        <w:tc>
          <w:tcPr>
            <w:tcW w:w="214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四、事业收入</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539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四、公共安全支出</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32</w:t>
            </w:r>
          </w:p>
        </w:tc>
        <w:tc>
          <w:tcPr>
            <w:tcW w:w="214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五、经营收入</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539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五、教育支出</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33</w:t>
            </w:r>
          </w:p>
        </w:tc>
        <w:tc>
          <w:tcPr>
            <w:tcW w:w="214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六、附属单位上缴收入</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6</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539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六、科学技术支出</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34</w:t>
            </w:r>
          </w:p>
        </w:tc>
        <w:tc>
          <w:tcPr>
            <w:tcW w:w="214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七、其他收入</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7</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539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七、文化旅游体育与传媒支出</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35</w:t>
            </w:r>
          </w:p>
        </w:tc>
        <w:tc>
          <w:tcPr>
            <w:tcW w:w="214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8</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539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八、社会保障和就业支出</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36</w:t>
            </w:r>
          </w:p>
        </w:tc>
        <w:tc>
          <w:tcPr>
            <w:tcW w:w="214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9</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539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九、卫生健康支出</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37</w:t>
            </w:r>
          </w:p>
        </w:tc>
        <w:tc>
          <w:tcPr>
            <w:tcW w:w="214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10</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539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十、节能环保支出</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38</w:t>
            </w:r>
          </w:p>
        </w:tc>
        <w:tc>
          <w:tcPr>
            <w:tcW w:w="214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11</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539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十一、城乡社区支出</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39</w:t>
            </w:r>
          </w:p>
        </w:tc>
        <w:tc>
          <w:tcPr>
            <w:tcW w:w="214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12</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539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十二、农林水支出</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40</w:t>
            </w:r>
          </w:p>
        </w:tc>
        <w:tc>
          <w:tcPr>
            <w:tcW w:w="214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68.66</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13</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539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十三、交通运输支出</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41</w:t>
            </w:r>
          </w:p>
        </w:tc>
        <w:tc>
          <w:tcPr>
            <w:tcW w:w="214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14</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539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十四、资源勘探信息等支出</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42</w:t>
            </w:r>
          </w:p>
        </w:tc>
        <w:tc>
          <w:tcPr>
            <w:tcW w:w="214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15</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539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十五、商业服务业等支出</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43</w:t>
            </w:r>
          </w:p>
        </w:tc>
        <w:tc>
          <w:tcPr>
            <w:tcW w:w="214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16</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539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十六、金融支出</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44</w:t>
            </w:r>
          </w:p>
        </w:tc>
        <w:tc>
          <w:tcPr>
            <w:tcW w:w="214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17</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539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十七、援助其他地区支出</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45</w:t>
            </w:r>
          </w:p>
        </w:tc>
        <w:tc>
          <w:tcPr>
            <w:tcW w:w="214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18</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539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十八、自然资源海洋气象等支出</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46</w:t>
            </w:r>
          </w:p>
        </w:tc>
        <w:tc>
          <w:tcPr>
            <w:tcW w:w="214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19</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539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十九、住房保障支出</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47</w:t>
            </w:r>
          </w:p>
        </w:tc>
        <w:tc>
          <w:tcPr>
            <w:tcW w:w="214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20</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539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二十、粮油物资储备支出</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48</w:t>
            </w:r>
          </w:p>
        </w:tc>
        <w:tc>
          <w:tcPr>
            <w:tcW w:w="214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21</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539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二十一、灾害防治及应急管理支出</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49</w:t>
            </w:r>
          </w:p>
        </w:tc>
        <w:tc>
          <w:tcPr>
            <w:tcW w:w="214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22</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539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二十二、其他支出</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50</w:t>
            </w:r>
          </w:p>
        </w:tc>
        <w:tc>
          <w:tcPr>
            <w:tcW w:w="214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23</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539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51</w:t>
            </w:r>
          </w:p>
        </w:tc>
        <w:tc>
          <w:tcPr>
            <w:tcW w:w="214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b/>
                <w:bCs/>
                <w:color w:val="000000"/>
                <w:kern w:val="0"/>
                <w:sz w:val="22"/>
                <w:szCs w:val="22"/>
              </w:rPr>
            </w:pPr>
            <w:r>
              <w:rPr>
                <w:rFonts w:hint="eastAsia" w:ascii="宋体" w:hAnsi="宋体" w:cs="Arial"/>
                <w:b/>
                <w:bCs/>
                <w:color w:val="000000"/>
                <w:kern w:val="0"/>
                <w:sz w:val="22"/>
                <w:szCs w:val="22"/>
              </w:rPr>
              <w:t>本年收入合计</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24</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677.83</w:t>
            </w:r>
          </w:p>
        </w:tc>
        <w:tc>
          <w:tcPr>
            <w:tcW w:w="5392"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b/>
                <w:bCs/>
                <w:color w:val="000000"/>
                <w:kern w:val="0"/>
                <w:sz w:val="22"/>
                <w:szCs w:val="22"/>
              </w:rPr>
            </w:pPr>
            <w:r>
              <w:rPr>
                <w:rFonts w:hint="eastAsia" w:ascii="宋体" w:hAnsi="宋体" w:cs="Arial"/>
                <w:b/>
                <w:bCs/>
                <w:color w:val="000000"/>
                <w:kern w:val="0"/>
                <w:sz w:val="22"/>
                <w:szCs w:val="22"/>
              </w:rPr>
              <w:t>本年支出合计</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52</w:t>
            </w:r>
          </w:p>
        </w:tc>
        <w:tc>
          <w:tcPr>
            <w:tcW w:w="214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677.83</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用事业基金弥补收支差额</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25</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539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结余分配</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53</w:t>
            </w:r>
          </w:p>
        </w:tc>
        <w:tc>
          <w:tcPr>
            <w:tcW w:w="214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年初结转和结余</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26</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539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年末结转和结余</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54</w:t>
            </w:r>
          </w:p>
        </w:tc>
        <w:tc>
          <w:tcPr>
            <w:tcW w:w="214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27</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539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55</w:t>
            </w:r>
          </w:p>
        </w:tc>
        <w:tc>
          <w:tcPr>
            <w:tcW w:w="2141"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18" w:hRule="atLeast"/>
        </w:trPr>
        <w:tc>
          <w:tcPr>
            <w:tcW w:w="4004"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b/>
                <w:bCs/>
                <w:color w:val="000000"/>
                <w:kern w:val="0"/>
                <w:sz w:val="22"/>
                <w:szCs w:val="22"/>
              </w:rPr>
            </w:pPr>
            <w:r>
              <w:rPr>
                <w:rFonts w:hint="eastAsia" w:ascii="宋体" w:hAnsi="宋体" w:cs="Arial"/>
                <w:b/>
                <w:bCs/>
                <w:color w:val="000000"/>
                <w:kern w:val="0"/>
                <w:sz w:val="22"/>
                <w:szCs w:val="22"/>
              </w:rPr>
              <w:t>总计</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28</w:t>
            </w:r>
          </w:p>
        </w:tc>
        <w:tc>
          <w:tcPr>
            <w:tcW w:w="111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677.83</w:t>
            </w:r>
          </w:p>
        </w:tc>
        <w:tc>
          <w:tcPr>
            <w:tcW w:w="5392"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b/>
                <w:bCs/>
                <w:color w:val="000000"/>
                <w:kern w:val="0"/>
                <w:sz w:val="22"/>
                <w:szCs w:val="22"/>
              </w:rPr>
            </w:pPr>
            <w:r>
              <w:rPr>
                <w:rFonts w:hint="eastAsia" w:ascii="宋体" w:hAnsi="宋体" w:cs="Arial"/>
                <w:b/>
                <w:bCs/>
                <w:color w:val="000000"/>
                <w:kern w:val="0"/>
                <w:sz w:val="22"/>
                <w:szCs w:val="22"/>
              </w:rPr>
              <w:t>总计</w:t>
            </w:r>
          </w:p>
        </w:tc>
        <w:tc>
          <w:tcPr>
            <w:tcW w:w="62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56</w:t>
            </w:r>
          </w:p>
        </w:tc>
        <w:tc>
          <w:tcPr>
            <w:tcW w:w="214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677.83</w:t>
            </w:r>
          </w:p>
        </w:tc>
      </w:tr>
      <w:tr>
        <w:tblPrEx>
          <w:tblLayout w:type="fixed"/>
          <w:tblCellMar>
            <w:top w:w="0" w:type="dxa"/>
            <w:left w:w="108" w:type="dxa"/>
            <w:bottom w:w="0" w:type="dxa"/>
            <w:right w:w="108" w:type="dxa"/>
          </w:tblCellMar>
        </w:tblPrEx>
        <w:trPr>
          <w:trHeight w:val="318" w:hRule="atLeast"/>
        </w:trPr>
        <w:tc>
          <w:tcPr>
            <w:tcW w:w="13897" w:type="dxa"/>
            <w:gridSpan w:val="6"/>
            <w:tcBorders>
              <w:top w:val="nil"/>
              <w:left w:val="nil"/>
              <w:bottom w:val="nil"/>
              <w:right w:val="nil"/>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注：本表反映部门本年度的总收支和年末结转结余情况。</w:t>
            </w:r>
          </w:p>
        </w:tc>
      </w:tr>
    </w:tbl>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tbl>
      <w:tblPr>
        <w:tblStyle w:val="8"/>
        <w:tblW w:w="13940" w:type="dxa"/>
        <w:tblInd w:w="93" w:type="dxa"/>
        <w:tblLayout w:type="fixed"/>
        <w:tblCellMar>
          <w:top w:w="0" w:type="dxa"/>
          <w:left w:w="108" w:type="dxa"/>
          <w:bottom w:w="0" w:type="dxa"/>
          <w:right w:w="108" w:type="dxa"/>
        </w:tblCellMar>
      </w:tblPr>
      <w:tblGrid>
        <w:gridCol w:w="340"/>
        <w:gridCol w:w="340"/>
        <w:gridCol w:w="340"/>
        <w:gridCol w:w="2760"/>
        <w:gridCol w:w="1460"/>
        <w:gridCol w:w="1420"/>
        <w:gridCol w:w="1460"/>
        <w:gridCol w:w="1440"/>
        <w:gridCol w:w="1480"/>
        <w:gridCol w:w="1420"/>
        <w:gridCol w:w="1480"/>
      </w:tblGrid>
      <w:tr>
        <w:tblPrEx>
          <w:tblLayout w:type="fixed"/>
          <w:tblCellMar>
            <w:top w:w="0" w:type="dxa"/>
            <w:left w:w="108" w:type="dxa"/>
            <w:bottom w:w="0" w:type="dxa"/>
            <w:right w:w="108" w:type="dxa"/>
          </w:tblCellMar>
        </w:tblPrEx>
        <w:trPr>
          <w:trHeight w:val="390" w:hRule="atLeast"/>
        </w:trPr>
        <w:tc>
          <w:tcPr>
            <w:tcW w:w="3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7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900" w:type="dxa"/>
            <w:gridSpan w:val="2"/>
            <w:tcBorders>
              <w:top w:val="nil"/>
              <w:left w:val="nil"/>
              <w:bottom w:val="nil"/>
              <w:right w:val="nil"/>
            </w:tcBorders>
            <w:vAlign w:val="bottom"/>
          </w:tcPr>
          <w:p>
            <w:pPr>
              <w:widowControl/>
              <w:jc w:val="center"/>
              <w:rPr>
                <w:rFonts w:ascii="宋体" w:cs="Arial"/>
                <w:color w:val="000000"/>
                <w:kern w:val="0"/>
                <w:sz w:val="30"/>
                <w:szCs w:val="30"/>
              </w:rPr>
            </w:pPr>
            <w:r>
              <w:rPr>
                <w:rFonts w:hint="eastAsia" w:ascii="宋体" w:hAnsi="宋体" w:cs="Arial"/>
                <w:color w:val="000000"/>
                <w:kern w:val="0"/>
                <w:sz w:val="30"/>
                <w:szCs w:val="30"/>
              </w:rPr>
              <w:t>收入决算表</w:t>
            </w: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55" w:hRule="atLeast"/>
        </w:trPr>
        <w:tc>
          <w:tcPr>
            <w:tcW w:w="3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7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18"/>
                <w:szCs w:val="18"/>
              </w:rPr>
              <w:t>公开</w:t>
            </w:r>
            <w:r>
              <w:rPr>
                <w:rFonts w:ascii="宋体" w:cs="Arial"/>
                <w:color w:val="000000"/>
                <w:kern w:val="0"/>
                <w:sz w:val="18"/>
                <w:szCs w:val="18"/>
              </w:rPr>
              <w:t>0</w:t>
            </w:r>
            <w:r>
              <w:rPr>
                <w:rFonts w:ascii="宋体" w:hAnsi="宋体" w:cs="Arial"/>
                <w:color w:val="000000"/>
                <w:kern w:val="0"/>
                <w:sz w:val="18"/>
                <w:szCs w:val="18"/>
              </w:rPr>
              <w:t>2</w:t>
            </w:r>
            <w:r>
              <w:rPr>
                <w:rFonts w:hint="eastAsia" w:ascii="宋体" w:hAnsi="宋体" w:cs="Arial"/>
                <w:color w:val="000000"/>
                <w:kern w:val="0"/>
                <w:sz w:val="20"/>
                <w:szCs w:val="20"/>
              </w:rPr>
              <w:t>表</w:t>
            </w:r>
          </w:p>
        </w:tc>
      </w:tr>
      <w:tr>
        <w:tblPrEx>
          <w:tblLayout w:type="fixed"/>
          <w:tblCellMar>
            <w:top w:w="0" w:type="dxa"/>
            <w:left w:w="108" w:type="dxa"/>
            <w:bottom w:w="0" w:type="dxa"/>
            <w:right w:w="108" w:type="dxa"/>
          </w:tblCellMar>
        </w:tblPrEx>
        <w:trPr>
          <w:trHeight w:val="255" w:hRule="atLeast"/>
        </w:trPr>
        <w:tc>
          <w:tcPr>
            <w:tcW w:w="3780" w:type="dxa"/>
            <w:gridSpan w:val="4"/>
            <w:tcBorders>
              <w:top w:val="nil"/>
              <w:left w:val="nil"/>
              <w:bottom w:val="nil"/>
              <w:right w:val="nil"/>
            </w:tcBorders>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部门：洞口县统计局</w:t>
            </w:r>
          </w:p>
        </w:tc>
        <w:tc>
          <w:tcPr>
            <w:tcW w:w="14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900" w:type="dxa"/>
            <w:gridSpan w:val="2"/>
            <w:tcBorders>
              <w:top w:val="nil"/>
              <w:left w:val="nil"/>
              <w:bottom w:val="single" w:color="000000" w:sz="4" w:space="0"/>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08" w:hRule="atLeast"/>
        </w:trPr>
        <w:tc>
          <w:tcPr>
            <w:tcW w:w="3780"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w:t>
            </w:r>
          </w:p>
        </w:tc>
        <w:tc>
          <w:tcPr>
            <w:tcW w:w="146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本年收入合计</w:t>
            </w:r>
          </w:p>
        </w:tc>
        <w:tc>
          <w:tcPr>
            <w:tcW w:w="142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财政拨款收入</w:t>
            </w:r>
          </w:p>
        </w:tc>
        <w:tc>
          <w:tcPr>
            <w:tcW w:w="146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上级补助收入</w:t>
            </w:r>
          </w:p>
        </w:tc>
        <w:tc>
          <w:tcPr>
            <w:tcW w:w="144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事业收入</w:t>
            </w:r>
          </w:p>
        </w:tc>
        <w:tc>
          <w:tcPr>
            <w:tcW w:w="148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经营收入</w:t>
            </w:r>
          </w:p>
        </w:tc>
        <w:tc>
          <w:tcPr>
            <w:tcW w:w="142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附属单位上缴收入</w:t>
            </w:r>
          </w:p>
        </w:tc>
        <w:tc>
          <w:tcPr>
            <w:tcW w:w="148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其他收入</w:t>
            </w:r>
          </w:p>
        </w:tc>
      </w:tr>
      <w:tr>
        <w:tblPrEx>
          <w:tblLayout w:type="fixed"/>
          <w:tblCellMar>
            <w:top w:w="0" w:type="dxa"/>
            <w:left w:w="108" w:type="dxa"/>
            <w:bottom w:w="0" w:type="dxa"/>
            <w:right w:w="108" w:type="dxa"/>
          </w:tblCellMar>
        </w:tblPrEx>
        <w:trPr>
          <w:trHeight w:val="312" w:hRule="atLeast"/>
        </w:trPr>
        <w:tc>
          <w:tcPr>
            <w:tcW w:w="102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功能分类科目编码</w:t>
            </w:r>
          </w:p>
        </w:tc>
        <w:tc>
          <w:tcPr>
            <w:tcW w:w="276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14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2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8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76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2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8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76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2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8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378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栏次</w:t>
            </w:r>
          </w:p>
        </w:tc>
        <w:tc>
          <w:tcPr>
            <w:tcW w:w="146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42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46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4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48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142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6</w:t>
            </w:r>
          </w:p>
        </w:tc>
        <w:tc>
          <w:tcPr>
            <w:tcW w:w="148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7</w:t>
            </w:r>
          </w:p>
        </w:tc>
      </w:tr>
      <w:tr>
        <w:tblPrEx>
          <w:tblLayout w:type="fixed"/>
          <w:tblCellMar>
            <w:top w:w="0" w:type="dxa"/>
            <w:left w:w="108" w:type="dxa"/>
            <w:bottom w:w="0" w:type="dxa"/>
            <w:right w:w="108" w:type="dxa"/>
          </w:tblCellMar>
        </w:tblPrEx>
        <w:trPr>
          <w:trHeight w:val="308" w:hRule="atLeast"/>
        </w:trPr>
        <w:tc>
          <w:tcPr>
            <w:tcW w:w="378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合计</w:t>
            </w:r>
          </w:p>
        </w:tc>
        <w:tc>
          <w:tcPr>
            <w:tcW w:w="1460" w:type="dxa"/>
            <w:tcBorders>
              <w:top w:val="nil"/>
              <w:left w:val="nil"/>
              <w:bottom w:val="single" w:color="000000" w:sz="4" w:space="0"/>
              <w:right w:val="single" w:color="000000" w:sz="4" w:space="0"/>
            </w:tcBorders>
            <w:vAlign w:val="center"/>
          </w:tcPr>
          <w:p>
            <w:pPr>
              <w:widowControl/>
              <w:jc w:val="right"/>
              <w:rPr>
                <w:rFonts w:ascii="宋体" w:cs="Arial"/>
                <w:b/>
                <w:bCs/>
                <w:color w:val="000000"/>
                <w:kern w:val="0"/>
                <w:sz w:val="22"/>
                <w:szCs w:val="22"/>
              </w:rPr>
            </w:pPr>
            <w:r>
              <w:rPr>
                <w:rFonts w:ascii="宋体" w:hAnsi="宋体" w:cs="Arial"/>
                <w:b/>
                <w:bCs/>
                <w:color w:val="000000"/>
                <w:kern w:val="0"/>
                <w:sz w:val="22"/>
                <w:szCs w:val="22"/>
              </w:rPr>
              <w:t>677.83</w:t>
            </w:r>
          </w:p>
        </w:tc>
        <w:tc>
          <w:tcPr>
            <w:tcW w:w="1420" w:type="dxa"/>
            <w:tcBorders>
              <w:top w:val="nil"/>
              <w:left w:val="nil"/>
              <w:bottom w:val="single" w:color="000000" w:sz="4" w:space="0"/>
              <w:right w:val="single" w:color="000000" w:sz="4" w:space="0"/>
            </w:tcBorders>
            <w:vAlign w:val="center"/>
          </w:tcPr>
          <w:p>
            <w:pPr>
              <w:widowControl/>
              <w:jc w:val="right"/>
              <w:rPr>
                <w:rFonts w:ascii="宋体" w:cs="Arial"/>
                <w:b/>
                <w:bCs/>
                <w:color w:val="000000"/>
                <w:kern w:val="0"/>
                <w:sz w:val="22"/>
                <w:szCs w:val="22"/>
              </w:rPr>
            </w:pPr>
            <w:r>
              <w:rPr>
                <w:rFonts w:ascii="宋体" w:hAnsi="宋体" w:cs="Arial"/>
                <w:b/>
                <w:bCs/>
                <w:color w:val="000000"/>
                <w:kern w:val="0"/>
                <w:sz w:val="22"/>
                <w:szCs w:val="22"/>
              </w:rPr>
              <w:t>677.83</w:t>
            </w:r>
          </w:p>
        </w:tc>
        <w:tc>
          <w:tcPr>
            <w:tcW w:w="1460" w:type="dxa"/>
            <w:tcBorders>
              <w:top w:val="nil"/>
              <w:left w:val="nil"/>
              <w:bottom w:val="single" w:color="000000" w:sz="4" w:space="0"/>
              <w:right w:val="single" w:color="000000" w:sz="4" w:space="0"/>
            </w:tcBorders>
            <w:vAlign w:val="center"/>
          </w:tcPr>
          <w:p>
            <w:pPr>
              <w:widowControl/>
              <w:jc w:val="right"/>
              <w:rPr>
                <w:rFonts w:ascii="宋体" w:cs="Arial"/>
                <w:b/>
                <w:bCs/>
                <w:color w:val="000000"/>
                <w:kern w:val="0"/>
                <w:sz w:val="22"/>
                <w:szCs w:val="22"/>
              </w:rPr>
            </w:pPr>
            <w:r>
              <w:rPr>
                <w:rFonts w:ascii="宋体" w:cs="Arial"/>
                <w:b/>
                <w:bCs/>
                <w:color w:val="000000"/>
                <w:kern w:val="0"/>
                <w:sz w:val="22"/>
                <w:szCs w:val="22"/>
              </w:rPr>
              <w:t>0.00</w:t>
            </w:r>
          </w:p>
        </w:tc>
        <w:tc>
          <w:tcPr>
            <w:tcW w:w="1440" w:type="dxa"/>
            <w:tcBorders>
              <w:top w:val="nil"/>
              <w:left w:val="nil"/>
              <w:bottom w:val="single" w:color="000000" w:sz="4" w:space="0"/>
              <w:right w:val="single" w:color="000000" w:sz="4" w:space="0"/>
            </w:tcBorders>
            <w:vAlign w:val="center"/>
          </w:tcPr>
          <w:p>
            <w:pPr>
              <w:widowControl/>
              <w:jc w:val="right"/>
              <w:rPr>
                <w:rFonts w:ascii="宋体" w:cs="Arial"/>
                <w:b/>
                <w:bCs/>
                <w:color w:val="000000"/>
                <w:kern w:val="0"/>
                <w:sz w:val="22"/>
                <w:szCs w:val="22"/>
              </w:rPr>
            </w:pPr>
            <w:r>
              <w:rPr>
                <w:rFonts w:ascii="宋体" w:cs="Arial"/>
                <w:b/>
                <w:bCs/>
                <w:color w:val="000000"/>
                <w:kern w:val="0"/>
                <w:sz w:val="22"/>
                <w:szCs w:val="22"/>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Arial"/>
                <w:b/>
                <w:bCs/>
                <w:color w:val="000000"/>
                <w:kern w:val="0"/>
                <w:sz w:val="22"/>
                <w:szCs w:val="22"/>
              </w:rPr>
            </w:pPr>
            <w:r>
              <w:rPr>
                <w:rFonts w:ascii="宋体" w:cs="Arial"/>
                <w:b/>
                <w:bCs/>
                <w:color w:val="000000"/>
                <w:kern w:val="0"/>
                <w:sz w:val="22"/>
                <w:szCs w:val="22"/>
              </w:rPr>
              <w:t>0.00</w:t>
            </w:r>
          </w:p>
        </w:tc>
        <w:tc>
          <w:tcPr>
            <w:tcW w:w="1420" w:type="dxa"/>
            <w:tcBorders>
              <w:top w:val="nil"/>
              <w:left w:val="nil"/>
              <w:bottom w:val="single" w:color="000000" w:sz="4" w:space="0"/>
              <w:right w:val="single" w:color="000000" w:sz="4" w:space="0"/>
            </w:tcBorders>
            <w:vAlign w:val="center"/>
          </w:tcPr>
          <w:p>
            <w:pPr>
              <w:widowControl/>
              <w:jc w:val="right"/>
              <w:rPr>
                <w:rFonts w:ascii="宋体" w:cs="Arial"/>
                <w:b/>
                <w:bCs/>
                <w:color w:val="000000"/>
                <w:kern w:val="0"/>
                <w:sz w:val="22"/>
                <w:szCs w:val="22"/>
              </w:rPr>
            </w:pPr>
            <w:r>
              <w:rPr>
                <w:rFonts w:ascii="宋体" w:cs="Arial"/>
                <w:b/>
                <w:bCs/>
                <w:color w:val="000000"/>
                <w:kern w:val="0"/>
                <w:sz w:val="22"/>
                <w:szCs w:val="22"/>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Arial"/>
                <w:b/>
                <w:bCs/>
                <w:color w:val="000000"/>
                <w:kern w:val="0"/>
                <w:sz w:val="22"/>
                <w:szCs w:val="22"/>
              </w:rPr>
            </w:pPr>
            <w:r>
              <w:rPr>
                <w:rFonts w:ascii="宋体" w:cs="Arial"/>
                <w:b/>
                <w:bCs/>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201</w:t>
            </w:r>
          </w:p>
        </w:tc>
        <w:tc>
          <w:tcPr>
            <w:tcW w:w="276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一般公共服务支出</w:t>
            </w:r>
          </w:p>
        </w:tc>
        <w:tc>
          <w:tcPr>
            <w:tcW w:w="14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609.17</w:t>
            </w:r>
          </w:p>
        </w:tc>
        <w:tc>
          <w:tcPr>
            <w:tcW w:w="14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609.17</w:t>
            </w:r>
          </w:p>
        </w:tc>
        <w:tc>
          <w:tcPr>
            <w:tcW w:w="14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20105</w:t>
            </w:r>
          </w:p>
        </w:tc>
        <w:tc>
          <w:tcPr>
            <w:tcW w:w="276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统计信息事务</w:t>
            </w:r>
          </w:p>
        </w:tc>
        <w:tc>
          <w:tcPr>
            <w:tcW w:w="14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583.76</w:t>
            </w:r>
          </w:p>
        </w:tc>
        <w:tc>
          <w:tcPr>
            <w:tcW w:w="14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583.76</w:t>
            </w:r>
          </w:p>
        </w:tc>
        <w:tc>
          <w:tcPr>
            <w:tcW w:w="14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2010501</w:t>
            </w:r>
          </w:p>
        </w:tc>
        <w:tc>
          <w:tcPr>
            <w:tcW w:w="276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行政运行</w:t>
            </w:r>
          </w:p>
        </w:tc>
        <w:tc>
          <w:tcPr>
            <w:tcW w:w="14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313.04</w:t>
            </w:r>
          </w:p>
        </w:tc>
        <w:tc>
          <w:tcPr>
            <w:tcW w:w="14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313.04</w:t>
            </w:r>
          </w:p>
        </w:tc>
        <w:tc>
          <w:tcPr>
            <w:tcW w:w="14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2010505</w:t>
            </w:r>
          </w:p>
        </w:tc>
        <w:tc>
          <w:tcPr>
            <w:tcW w:w="276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专项统计业务</w:t>
            </w:r>
          </w:p>
        </w:tc>
        <w:tc>
          <w:tcPr>
            <w:tcW w:w="14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170.72</w:t>
            </w:r>
          </w:p>
        </w:tc>
        <w:tc>
          <w:tcPr>
            <w:tcW w:w="14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170.72</w:t>
            </w:r>
          </w:p>
        </w:tc>
        <w:tc>
          <w:tcPr>
            <w:tcW w:w="14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2010599</w:t>
            </w:r>
          </w:p>
        </w:tc>
        <w:tc>
          <w:tcPr>
            <w:tcW w:w="276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其他统计信息事务支出</w:t>
            </w:r>
          </w:p>
        </w:tc>
        <w:tc>
          <w:tcPr>
            <w:tcW w:w="14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100.00</w:t>
            </w:r>
          </w:p>
        </w:tc>
        <w:tc>
          <w:tcPr>
            <w:tcW w:w="14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100.00</w:t>
            </w:r>
          </w:p>
        </w:tc>
        <w:tc>
          <w:tcPr>
            <w:tcW w:w="14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20199</w:t>
            </w:r>
          </w:p>
        </w:tc>
        <w:tc>
          <w:tcPr>
            <w:tcW w:w="276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其他一般公共服务支出</w:t>
            </w:r>
          </w:p>
        </w:tc>
        <w:tc>
          <w:tcPr>
            <w:tcW w:w="14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25.41</w:t>
            </w:r>
          </w:p>
        </w:tc>
        <w:tc>
          <w:tcPr>
            <w:tcW w:w="14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25.41</w:t>
            </w:r>
          </w:p>
        </w:tc>
        <w:tc>
          <w:tcPr>
            <w:tcW w:w="14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2019999</w:t>
            </w:r>
          </w:p>
        </w:tc>
        <w:tc>
          <w:tcPr>
            <w:tcW w:w="276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其他一般公共服务支出</w:t>
            </w:r>
          </w:p>
        </w:tc>
        <w:tc>
          <w:tcPr>
            <w:tcW w:w="14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25.41</w:t>
            </w:r>
          </w:p>
        </w:tc>
        <w:tc>
          <w:tcPr>
            <w:tcW w:w="14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25.41</w:t>
            </w:r>
          </w:p>
        </w:tc>
        <w:tc>
          <w:tcPr>
            <w:tcW w:w="14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213</w:t>
            </w:r>
          </w:p>
        </w:tc>
        <w:tc>
          <w:tcPr>
            <w:tcW w:w="276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农林水支出</w:t>
            </w:r>
          </w:p>
        </w:tc>
        <w:tc>
          <w:tcPr>
            <w:tcW w:w="14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68.66</w:t>
            </w:r>
          </w:p>
        </w:tc>
        <w:tc>
          <w:tcPr>
            <w:tcW w:w="14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68.66</w:t>
            </w:r>
          </w:p>
        </w:tc>
        <w:tc>
          <w:tcPr>
            <w:tcW w:w="14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21301</w:t>
            </w:r>
          </w:p>
        </w:tc>
        <w:tc>
          <w:tcPr>
            <w:tcW w:w="276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农业</w:t>
            </w:r>
          </w:p>
        </w:tc>
        <w:tc>
          <w:tcPr>
            <w:tcW w:w="14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60.00</w:t>
            </w:r>
          </w:p>
        </w:tc>
        <w:tc>
          <w:tcPr>
            <w:tcW w:w="14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60.00</w:t>
            </w:r>
          </w:p>
        </w:tc>
        <w:tc>
          <w:tcPr>
            <w:tcW w:w="14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2130111</w:t>
            </w:r>
          </w:p>
        </w:tc>
        <w:tc>
          <w:tcPr>
            <w:tcW w:w="276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统计监测与信息服务</w:t>
            </w:r>
          </w:p>
        </w:tc>
        <w:tc>
          <w:tcPr>
            <w:tcW w:w="14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60.00</w:t>
            </w:r>
          </w:p>
        </w:tc>
        <w:tc>
          <w:tcPr>
            <w:tcW w:w="14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60.00</w:t>
            </w:r>
          </w:p>
        </w:tc>
        <w:tc>
          <w:tcPr>
            <w:tcW w:w="14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21305</w:t>
            </w:r>
          </w:p>
        </w:tc>
        <w:tc>
          <w:tcPr>
            <w:tcW w:w="276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扶贫</w:t>
            </w:r>
          </w:p>
        </w:tc>
        <w:tc>
          <w:tcPr>
            <w:tcW w:w="14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8.66</w:t>
            </w:r>
          </w:p>
        </w:tc>
        <w:tc>
          <w:tcPr>
            <w:tcW w:w="14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8.66</w:t>
            </w:r>
          </w:p>
        </w:tc>
        <w:tc>
          <w:tcPr>
            <w:tcW w:w="14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2130599</w:t>
            </w:r>
          </w:p>
        </w:tc>
        <w:tc>
          <w:tcPr>
            <w:tcW w:w="276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其他扶贫支出</w:t>
            </w:r>
          </w:p>
        </w:tc>
        <w:tc>
          <w:tcPr>
            <w:tcW w:w="14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8.66</w:t>
            </w:r>
          </w:p>
        </w:tc>
        <w:tc>
          <w:tcPr>
            <w:tcW w:w="14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8.66</w:t>
            </w:r>
          </w:p>
        </w:tc>
        <w:tc>
          <w:tcPr>
            <w:tcW w:w="14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3940" w:type="dxa"/>
            <w:gridSpan w:val="11"/>
            <w:tcBorders>
              <w:top w:val="nil"/>
              <w:left w:val="nil"/>
              <w:bottom w:val="nil"/>
              <w:right w:val="nil"/>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注：本表反映部门本年度取得的各项收入情况。</w:t>
            </w:r>
          </w:p>
        </w:tc>
      </w:tr>
    </w:tbl>
    <w:p>
      <w:pPr>
        <w:rPr>
          <w:sz w:val="30"/>
          <w:szCs w:val="30"/>
        </w:rPr>
      </w:pPr>
    </w:p>
    <w:tbl>
      <w:tblPr>
        <w:tblStyle w:val="8"/>
        <w:tblW w:w="13901" w:type="dxa"/>
        <w:tblInd w:w="93" w:type="dxa"/>
        <w:tblLayout w:type="fixed"/>
        <w:tblCellMar>
          <w:top w:w="0" w:type="dxa"/>
          <w:left w:w="108" w:type="dxa"/>
          <w:bottom w:w="0" w:type="dxa"/>
          <w:right w:w="108" w:type="dxa"/>
        </w:tblCellMar>
      </w:tblPr>
      <w:tblGrid>
        <w:gridCol w:w="349"/>
        <w:gridCol w:w="349"/>
        <w:gridCol w:w="349"/>
        <w:gridCol w:w="3306"/>
        <w:gridCol w:w="1684"/>
        <w:gridCol w:w="1622"/>
        <w:gridCol w:w="1540"/>
        <w:gridCol w:w="1519"/>
        <w:gridCol w:w="1499"/>
        <w:gridCol w:w="1684"/>
      </w:tblGrid>
      <w:tr>
        <w:tblPrEx>
          <w:tblLayout w:type="fixed"/>
          <w:tblCellMar>
            <w:top w:w="0" w:type="dxa"/>
            <w:left w:w="108" w:type="dxa"/>
            <w:bottom w:w="0" w:type="dxa"/>
            <w:right w:w="108" w:type="dxa"/>
          </w:tblCellMar>
        </w:tblPrEx>
        <w:trPr>
          <w:trHeight w:val="414" w:hRule="atLeast"/>
        </w:trPr>
        <w:tc>
          <w:tcPr>
            <w:tcW w:w="34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4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4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30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8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162" w:type="dxa"/>
            <w:gridSpan w:val="2"/>
            <w:tcBorders>
              <w:top w:val="nil"/>
              <w:left w:val="nil"/>
              <w:bottom w:val="nil"/>
              <w:right w:val="nil"/>
            </w:tcBorders>
            <w:vAlign w:val="bottom"/>
          </w:tcPr>
          <w:p>
            <w:pPr>
              <w:widowControl/>
              <w:jc w:val="center"/>
              <w:rPr>
                <w:rFonts w:ascii="宋体" w:cs="Arial"/>
                <w:color w:val="000000"/>
                <w:kern w:val="0"/>
                <w:sz w:val="30"/>
                <w:szCs w:val="30"/>
              </w:rPr>
            </w:pPr>
            <w:r>
              <w:rPr>
                <w:rFonts w:hint="eastAsia" w:ascii="宋体" w:hAnsi="宋体" w:cs="Arial"/>
                <w:color w:val="000000"/>
                <w:kern w:val="0"/>
                <w:sz w:val="30"/>
                <w:szCs w:val="30"/>
              </w:rPr>
              <w:t>支出决算表</w:t>
            </w:r>
          </w:p>
        </w:tc>
        <w:tc>
          <w:tcPr>
            <w:tcW w:w="151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9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84"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71" w:hRule="atLeast"/>
        </w:trPr>
        <w:tc>
          <w:tcPr>
            <w:tcW w:w="34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4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4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30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8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2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1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9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84" w:type="dxa"/>
            <w:tcBorders>
              <w:top w:val="nil"/>
              <w:left w:val="nil"/>
              <w:bottom w:val="nil"/>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18"/>
                <w:szCs w:val="18"/>
              </w:rPr>
              <w:t>公开</w:t>
            </w:r>
            <w:r>
              <w:rPr>
                <w:rFonts w:ascii="宋体" w:cs="Arial"/>
                <w:color w:val="000000"/>
                <w:kern w:val="0"/>
                <w:sz w:val="18"/>
                <w:szCs w:val="18"/>
              </w:rPr>
              <w:t>0</w:t>
            </w:r>
            <w:r>
              <w:rPr>
                <w:rFonts w:ascii="宋体" w:hAnsi="宋体" w:cs="Arial"/>
                <w:color w:val="000000"/>
                <w:kern w:val="0"/>
                <w:sz w:val="18"/>
                <w:szCs w:val="18"/>
              </w:rPr>
              <w:t>3</w:t>
            </w:r>
            <w:r>
              <w:rPr>
                <w:rFonts w:hint="eastAsia" w:ascii="宋体" w:hAnsi="宋体" w:cs="Arial"/>
                <w:color w:val="000000"/>
                <w:kern w:val="0"/>
                <w:sz w:val="20"/>
                <w:szCs w:val="20"/>
              </w:rPr>
              <w:t>表</w:t>
            </w:r>
          </w:p>
        </w:tc>
      </w:tr>
      <w:tr>
        <w:tblPrEx>
          <w:tblLayout w:type="fixed"/>
          <w:tblCellMar>
            <w:top w:w="0" w:type="dxa"/>
            <w:left w:w="108" w:type="dxa"/>
            <w:bottom w:w="0" w:type="dxa"/>
            <w:right w:w="108" w:type="dxa"/>
          </w:tblCellMar>
        </w:tblPrEx>
        <w:trPr>
          <w:trHeight w:val="271" w:hRule="atLeast"/>
        </w:trPr>
        <w:tc>
          <w:tcPr>
            <w:tcW w:w="4353" w:type="dxa"/>
            <w:gridSpan w:val="4"/>
            <w:tcBorders>
              <w:top w:val="nil"/>
              <w:left w:val="nil"/>
              <w:bottom w:val="single" w:color="000000" w:sz="4" w:space="0"/>
              <w:right w:val="nil"/>
            </w:tcBorders>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部门：洞口县统计局</w:t>
            </w:r>
          </w:p>
        </w:tc>
        <w:tc>
          <w:tcPr>
            <w:tcW w:w="168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2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1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183" w:type="dxa"/>
            <w:gridSpan w:val="2"/>
            <w:tcBorders>
              <w:top w:val="nil"/>
              <w:left w:val="nil"/>
              <w:bottom w:val="single" w:color="000000" w:sz="4" w:space="0"/>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27" w:hRule="atLeast"/>
        </w:trPr>
        <w:tc>
          <w:tcPr>
            <w:tcW w:w="4353"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w:t>
            </w:r>
          </w:p>
        </w:tc>
        <w:tc>
          <w:tcPr>
            <w:tcW w:w="1684"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本年支出合计</w:t>
            </w:r>
          </w:p>
        </w:tc>
        <w:tc>
          <w:tcPr>
            <w:tcW w:w="1622"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基本支出</w:t>
            </w:r>
          </w:p>
        </w:tc>
        <w:tc>
          <w:tcPr>
            <w:tcW w:w="154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项目支出</w:t>
            </w:r>
          </w:p>
        </w:tc>
        <w:tc>
          <w:tcPr>
            <w:tcW w:w="151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上缴上级支出</w:t>
            </w:r>
          </w:p>
        </w:tc>
        <w:tc>
          <w:tcPr>
            <w:tcW w:w="1499"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经营支出</w:t>
            </w:r>
          </w:p>
        </w:tc>
        <w:tc>
          <w:tcPr>
            <w:tcW w:w="1684"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对附属单位补助支出</w:t>
            </w:r>
          </w:p>
        </w:tc>
      </w:tr>
      <w:tr>
        <w:tblPrEx>
          <w:tblLayout w:type="fixed"/>
          <w:tblCellMar>
            <w:top w:w="0" w:type="dxa"/>
            <w:left w:w="108" w:type="dxa"/>
            <w:bottom w:w="0" w:type="dxa"/>
            <w:right w:w="108" w:type="dxa"/>
          </w:tblCellMar>
        </w:tblPrEx>
        <w:trPr>
          <w:trHeight w:val="331" w:hRule="atLeast"/>
        </w:trPr>
        <w:tc>
          <w:tcPr>
            <w:tcW w:w="104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功能分类科目编码</w:t>
            </w:r>
          </w:p>
        </w:tc>
        <w:tc>
          <w:tcPr>
            <w:tcW w:w="330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168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62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5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5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99"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684"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31" w:hRule="atLeast"/>
        </w:trPr>
        <w:tc>
          <w:tcPr>
            <w:tcW w:w="1047"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3306"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68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62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5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5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99"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684"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31" w:hRule="atLeast"/>
        </w:trPr>
        <w:tc>
          <w:tcPr>
            <w:tcW w:w="1047"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3306"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68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62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5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5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99"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684"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27" w:hRule="atLeast"/>
        </w:trPr>
        <w:tc>
          <w:tcPr>
            <w:tcW w:w="4353"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栏次</w:t>
            </w:r>
          </w:p>
        </w:tc>
        <w:tc>
          <w:tcPr>
            <w:tcW w:w="1684"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622"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519"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499"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1684"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6</w:t>
            </w:r>
          </w:p>
        </w:tc>
      </w:tr>
      <w:tr>
        <w:tblPrEx>
          <w:tblLayout w:type="fixed"/>
          <w:tblCellMar>
            <w:top w:w="0" w:type="dxa"/>
            <w:left w:w="108" w:type="dxa"/>
            <w:bottom w:w="0" w:type="dxa"/>
            <w:right w:w="108" w:type="dxa"/>
          </w:tblCellMar>
        </w:tblPrEx>
        <w:trPr>
          <w:trHeight w:val="327" w:hRule="atLeast"/>
        </w:trPr>
        <w:tc>
          <w:tcPr>
            <w:tcW w:w="4353"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合计</w:t>
            </w:r>
          </w:p>
        </w:tc>
        <w:tc>
          <w:tcPr>
            <w:tcW w:w="1684" w:type="dxa"/>
            <w:tcBorders>
              <w:top w:val="nil"/>
              <w:left w:val="nil"/>
              <w:bottom w:val="single" w:color="000000" w:sz="4" w:space="0"/>
              <w:right w:val="single" w:color="000000" w:sz="4" w:space="0"/>
            </w:tcBorders>
            <w:vAlign w:val="center"/>
          </w:tcPr>
          <w:p>
            <w:pPr>
              <w:widowControl/>
              <w:jc w:val="right"/>
              <w:rPr>
                <w:rFonts w:ascii="宋体" w:cs="Arial"/>
                <w:b/>
                <w:bCs/>
                <w:color w:val="000000"/>
                <w:kern w:val="0"/>
                <w:sz w:val="22"/>
                <w:szCs w:val="22"/>
              </w:rPr>
            </w:pPr>
            <w:r>
              <w:rPr>
                <w:rFonts w:ascii="宋体" w:hAnsi="宋体" w:cs="Arial"/>
                <w:b/>
                <w:bCs/>
                <w:color w:val="000000"/>
                <w:kern w:val="0"/>
                <w:sz w:val="22"/>
                <w:szCs w:val="22"/>
              </w:rPr>
              <w:t>677.83</w:t>
            </w:r>
          </w:p>
        </w:tc>
        <w:tc>
          <w:tcPr>
            <w:tcW w:w="1622" w:type="dxa"/>
            <w:tcBorders>
              <w:top w:val="nil"/>
              <w:left w:val="nil"/>
              <w:bottom w:val="single" w:color="000000" w:sz="4" w:space="0"/>
              <w:right w:val="single" w:color="000000" w:sz="4" w:space="0"/>
            </w:tcBorders>
            <w:vAlign w:val="center"/>
          </w:tcPr>
          <w:p>
            <w:pPr>
              <w:widowControl/>
              <w:jc w:val="right"/>
              <w:rPr>
                <w:rFonts w:ascii="宋体" w:cs="Arial"/>
                <w:b/>
                <w:bCs/>
                <w:color w:val="000000"/>
                <w:kern w:val="0"/>
                <w:sz w:val="22"/>
                <w:szCs w:val="22"/>
              </w:rPr>
            </w:pPr>
            <w:r>
              <w:rPr>
                <w:rFonts w:ascii="宋体" w:hAnsi="宋体" w:cs="Arial"/>
                <w:b/>
                <w:bCs/>
                <w:color w:val="000000"/>
                <w:kern w:val="0"/>
                <w:sz w:val="22"/>
                <w:szCs w:val="22"/>
              </w:rPr>
              <w:t>677.83</w:t>
            </w:r>
          </w:p>
        </w:tc>
        <w:tc>
          <w:tcPr>
            <w:tcW w:w="1540" w:type="dxa"/>
            <w:tcBorders>
              <w:top w:val="nil"/>
              <w:left w:val="nil"/>
              <w:bottom w:val="single" w:color="000000" w:sz="4" w:space="0"/>
              <w:right w:val="single" w:color="000000" w:sz="4" w:space="0"/>
            </w:tcBorders>
            <w:vAlign w:val="center"/>
          </w:tcPr>
          <w:p>
            <w:pPr>
              <w:widowControl/>
              <w:jc w:val="right"/>
              <w:rPr>
                <w:rFonts w:ascii="宋体" w:cs="Arial"/>
                <w:b/>
                <w:bCs/>
                <w:color w:val="000000"/>
                <w:kern w:val="0"/>
                <w:sz w:val="22"/>
                <w:szCs w:val="22"/>
              </w:rPr>
            </w:pPr>
            <w:r>
              <w:rPr>
                <w:rFonts w:ascii="宋体" w:cs="Arial"/>
                <w:b/>
                <w:bCs/>
                <w:color w:val="000000"/>
                <w:kern w:val="0"/>
                <w:sz w:val="22"/>
                <w:szCs w:val="22"/>
              </w:rPr>
              <w:t>0.00</w:t>
            </w:r>
          </w:p>
        </w:tc>
        <w:tc>
          <w:tcPr>
            <w:tcW w:w="1519" w:type="dxa"/>
            <w:tcBorders>
              <w:top w:val="nil"/>
              <w:left w:val="nil"/>
              <w:bottom w:val="single" w:color="000000" w:sz="4" w:space="0"/>
              <w:right w:val="single" w:color="000000" w:sz="4" w:space="0"/>
            </w:tcBorders>
            <w:vAlign w:val="center"/>
          </w:tcPr>
          <w:p>
            <w:pPr>
              <w:widowControl/>
              <w:jc w:val="right"/>
              <w:rPr>
                <w:rFonts w:ascii="宋体" w:cs="Arial"/>
                <w:b/>
                <w:bCs/>
                <w:color w:val="000000"/>
                <w:kern w:val="0"/>
                <w:sz w:val="22"/>
                <w:szCs w:val="22"/>
              </w:rPr>
            </w:pPr>
            <w:r>
              <w:rPr>
                <w:rFonts w:ascii="宋体" w:cs="Arial"/>
                <w:b/>
                <w:bCs/>
                <w:color w:val="000000"/>
                <w:kern w:val="0"/>
                <w:sz w:val="22"/>
                <w:szCs w:val="22"/>
              </w:rPr>
              <w:t>0.00</w:t>
            </w:r>
          </w:p>
        </w:tc>
        <w:tc>
          <w:tcPr>
            <w:tcW w:w="1499" w:type="dxa"/>
            <w:tcBorders>
              <w:top w:val="nil"/>
              <w:left w:val="nil"/>
              <w:bottom w:val="single" w:color="000000" w:sz="4" w:space="0"/>
              <w:right w:val="single" w:color="000000" w:sz="4" w:space="0"/>
            </w:tcBorders>
            <w:vAlign w:val="center"/>
          </w:tcPr>
          <w:p>
            <w:pPr>
              <w:widowControl/>
              <w:jc w:val="right"/>
              <w:rPr>
                <w:rFonts w:ascii="宋体" w:cs="Arial"/>
                <w:b/>
                <w:bCs/>
                <w:color w:val="000000"/>
                <w:kern w:val="0"/>
                <w:sz w:val="22"/>
                <w:szCs w:val="22"/>
              </w:rPr>
            </w:pPr>
            <w:r>
              <w:rPr>
                <w:rFonts w:ascii="宋体" w:cs="Arial"/>
                <w:b/>
                <w:bCs/>
                <w:color w:val="000000"/>
                <w:kern w:val="0"/>
                <w:sz w:val="22"/>
                <w:szCs w:val="22"/>
              </w:rPr>
              <w:t>0.00</w:t>
            </w:r>
          </w:p>
        </w:tc>
        <w:tc>
          <w:tcPr>
            <w:tcW w:w="1684" w:type="dxa"/>
            <w:tcBorders>
              <w:top w:val="nil"/>
              <w:left w:val="nil"/>
              <w:bottom w:val="single" w:color="000000" w:sz="4" w:space="0"/>
              <w:right w:val="single" w:color="000000" w:sz="4" w:space="0"/>
            </w:tcBorders>
            <w:vAlign w:val="center"/>
          </w:tcPr>
          <w:p>
            <w:pPr>
              <w:widowControl/>
              <w:jc w:val="right"/>
              <w:rPr>
                <w:rFonts w:ascii="宋体" w:cs="Arial"/>
                <w:b/>
                <w:bCs/>
                <w:color w:val="000000"/>
                <w:kern w:val="0"/>
                <w:sz w:val="22"/>
                <w:szCs w:val="22"/>
              </w:rPr>
            </w:pPr>
            <w:r>
              <w:rPr>
                <w:rFonts w:ascii="宋体" w:cs="Arial"/>
                <w:b/>
                <w:bCs/>
                <w:color w:val="000000"/>
                <w:kern w:val="0"/>
                <w:sz w:val="22"/>
                <w:szCs w:val="22"/>
              </w:rPr>
              <w:t>0.00</w:t>
            </w:r>
          </w:p>
        </w:tc>
      </w:tr>
      <w:tr>
        <w:tblPrEx>
          <w:tblLayout w:type="fixed"/>
          <w:tblCellMar>
            <w:top w:w="0" w:type="dxa"/>
            <w:left w:w="108" w:type="dxa"/>
            <w:bottom w:w="0" w:type="dxa"/>
            <w:right w:w="108" w:type="dxa"/>
          </w:tblCellMar>
        </w:tblPrEx>
        <w:trPr>
          <w:trHeight w:val="327" w:hRule="atLeast"/>
        </w:trPr>
        <w:tc>
          <w:tcPr>
            <w:tcW w:w="104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201</w:t>
            </w:r>
          </w:p>
        </w:tc>
        <w:tc>
          <w:tcPr>
            <w:tcW w:w="330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一般公共服务支出</w:t>
            </w:r>
          </w:p>
        </w:tc>
        <w:tc>
          <w:tcPr>
            <w:tcW w:w="168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609.17</w:t>
            </w:r>
          </w:p>
        </w:tc>
        <w:tc>
          <w:tcPr>
            <w:tcW w:w="1622"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609.17</w:t>
            </w:r>
          </w:p>
        </w:tc>
        <w:tc>
          <w:tcPr>
            <w:tcW w:w="15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1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68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27" w:hRule="atLeast"/>
        </w:trPr>
        <w:tc>
          <w:tcPr>
            <w:tcW w:w="104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20105</w:t>
            </w:r>
          </w:p>
        </w:tc>
        <w:tc>
          <w:tcPr>
            <w:tcW w:w="330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统计信息事务</w:t>
            </w:r>
          </w:p>
        </w:tc>
        <w:tc>
          <w:tcPr>
            <w:tcW w:w="168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583.76</w:t>
            </w:r>
          </w:p>
        </w:tc>
        <w:tc>
          <w:tcPr>
            <w:tcW w:w="1622"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583.76</w:t>
            </w:r>
          </w:p>
        </w:tc>
        <w:tc>
          <w:tcPr>
            <w:tcW w:w="15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1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68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27" w:hRule="atLeast"/>
        </w:trPr>
        <w:tc>
          <w:tcPr>
            <w:tcW w:w="104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2010501</w:t>
            </w:r>
          </w:p>
        </w:tc>
        <w:tc>
          <w:tcPr>
            <w:tcW w:w="330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行政运行</w:t>
            </w:r>
          </w:p>
        </w:tc>
        <w:tc>
          <w:tcPr>
            <w:tcW w:w="168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313.04</w:t>
            </w:r>
          </w:p>
        </w:tc>
        <w:tc>
          <w:tcPr>
            <w:tcW w:w="1622"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313.04</w:t>
            </w:r>
          </w:p>
        </w:tc>
        <w:tc>
          <w:tcPr>
            <w:tcW w:w="15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1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68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27" w:hRule="atLeast"/>
        </w:trPr>
        <w:tc>
          <w:tcPr>
            <w:tcW w:w="104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2010505</w:t>
            </w:r>
          </w:p>
        </w:tc>
        <w:tc>
          <w:tcPr>
            <w:tcW w:w="330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专项统计业务</w:t>
            </w:r>
          </w:p>
        </w:tc>
        <w:tc>
          <w:tcPr>
            <w:tcW w:w="168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170.72</w:t>
            </w:r>
          </w:p>
        </w:tc>
        <w:tc>
          <w:tcPr>
            <w:tcW w:w="1622"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170.72</w:t>
            </w:r>
          </w:p>
        </w:tc>
        <w:tc>
          <w:tcPr>
            <w:tcW w:w="15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1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68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27" w:hRule="atLeast"/>
        </w:trPr>
        <w:tc>
          <w:tcPr>
            <w:tcW w:w="104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2010599</w:t>
            </w:r>
          </w:p>
        </w:tc>
        <w:tc>
          <w:tcPr>
            <w:tcW w:w="330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其他统计信息事务支出</w:t>
            </w:r>
          </w:p>
        </w:tc>
        <w:tc>
          <w:tcPr>
            <w:tcW w:w="168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100.00</w:t>
            </w:r>
          </w:p>
        </w:tc>
        <w:tc>
          <w:tcPr>
            <w:tcW w:w="1622"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100.00</w:t>
            </w:r>
          </w:p>
        </w:tc>
        <w:tc>
          <w:tcPr>
            <w:tcW w:w="15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1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68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27" w:hRule="atLeast"/>
        </w:trPr>
        <w:tc>
          <w:tcPr>
            <w:tcW w:w="104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20199</w:t>
            </w:r>
          </w:p>
        </w:tc>
        <w:tc>
          <w:tcPr>
            <w:tcW w:w="330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其他一般公共服务支出</w:t>
            </w:r>
          </w:p>
        </w:tc>
        <w:tc>
          <w:tcPr>
            <w:tcW w:w="168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25.41</w:t>
            </w:r>
          </w:p>
        </w:tc>
        <w:tc>
          <w:tcPr>
            <w:tcW w:w="1622"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25.41</w:t>
            </w:r>
          </w:p>
        </w:tc>
        <w:tc>
          <w:tcPr>
            <w:tcW w:w="15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1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68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27" w:hRule="atLeast"/>
        </w:trPr>
        <w:tc>
          <w:tcPr>
            <w:tcW w:w="104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2019999</w:t>
            </w:r>
          </w:p>
        </w:tc>
        <w:tc>
          <w:tcPr>
            <w:tcW w:w="330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其他一般公共服务支出</w:t>
            </w:r>
          </w:p>
        </w:tc>
        <w:tc>
          <w:tcPr>
            <w:tcW w:w="168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25.41</w:t>
            </w:r>
          </w:p>
        </w:tc>
        <w:tc>
          <w:tcPr>
            <w:tcW w:w="1622"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25.41</w:t>
            </w:r>
          </w:p>
        </w:tc>
        <w:tc>
          <w:tcPr>
            <w:tcW w:w="15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1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68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27" w:hRule="atLeast"/>
        </w:trPr>
        <w:tc>
          <w:tcPr>
            <w:tcW w:w="104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213</w:t>
            </w:r>
          </w:p>
        </w:tc>
        <w:tc>
          <w:tcPr>
            <w:tcW w:w="330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农林水支出</w:t>
            </w:r>
          </w:p>
        </w:tc>
        <w:tc>
          <w:tcPr>
            <w:tcW w:w="168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68.66</w:t>
            </w:r>
          </w:p>
        </w:tc>
        <w:tc>
          <w:tcPr>
            <w:tcW w:w="1622"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68.66</w:t>
            </w:r>
          </w:p>
        </w:tc>
        <w:tc>
          <w:tcPr>
            <w:tcW w:w="15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1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68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27" w:hRule="atLeast"/>
        </w:trPr>
        <w:tc>
          <w:tcPr>
            <w:tcW w:w="104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21301</w:t>
            </w:r>
          </w:p>
        </w:tc>
        <w:tc>
          <w:tcPr>
            <w:tcW w:w="330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农业</w:t>
            </w:r>
          </w:p>
        </w:tc>
        <w:tc>
          <w:tcPr>
            <w:tcW w:w="168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60.00</w:t>
            </w:r>
          </w:p>
        </w:tc>
        <w:tc>
          <w:tcPr>
            <w:tcW w:w="1622"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60.00</w:t>
            </w:r>
          </w:p>
        </w:tc>
        <w:tc>
          <w:tcPr>
            <w:tcW w:w="15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1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68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27" w:hRule="atLeast"/>
        </w:trPr>
        <w:tc>
          <w:tcPr>
            <w:tcW w:w="104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2130111</w:t>
            </w:r>
          </w:p>
        </w:tc>
        <w:tc>
          <w:tcPr>
            <w:tcW w:w="330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统计监测与信息服务</w:t>
            </w:r>
          </w:p>
        </w:tc>
        <w:tc>
          <w:tcPr>
            <w:tcW w:w="168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60.00</w:t>
            </w:r>
          </w:p>
        </w:tc>
        <w:tc>
          <w:tcPr>
            <w:tcW w:w="1622"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60.00</w:t>
            </w:r>
          </w:p>
        </w:tc>
        <w:tc>
          <w:tcPr>
            <w:tcW w:w="15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1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68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27" w:hRule="atLeast"/>
        </w:trPr>
        <w:tc>
          <w:tcPr>
            <w:tcW w:w="104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21305</w:t>
            </w:r>
          </w:p>
        </w:tc>
        <w:tc>
          <w:tcPr>
            <w:tcW w:w="330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扶贫</w:t>
            </w:r>
          </w:p>
        </w:tc>
        <w:tc>
          <w:tcPr>
            <w:tcW w:w="168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8.66</w:t>
            </w:r>
          </w:p>
        </w:tc>
        <w:tc>
          <w:tcPr>
            <w:tcW w:w="1622"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8.66</w:t>
            </w:r>
          </w:p>
        </w:tc>
        <w:tc>
          <w:tcPr>
            <w:tcW w:w="15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1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68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27" w:hRule="atLeast"/>
        </w:trPr>
        <w:tc>
          <w:tcPr>
            <w:tcW w:w="104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2130599</w:t>
            </w:r>
          </w:p>
        </w:tc>
        <w:tc>
          <w:tcPr>
            <w:tcW w:w="330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其他扶贫支出</w:t>
            </w:r>
          </w:p>
        </w:tc>
        <w:tc>
          <w:tcPr>
            <w:tcW w:w="168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8.66</w:t>
            </w:r>
          </w:p>
        </w:tc>
        <w:tc>
          <w:tcPr>
            <w:tcW w:w="1622"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8.66</w:t>
            </w:r>
          </w:p>
        </w:tc>
        <w:tc>
          <w:tcPr>
            <w:tcW w:w="15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1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68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27" w:hRule="atLeast"/>
        </w:trPr>
        <w:tc>
          <w:tcPr>
            <w:tcW w:w="13901" w:type="dxa"/>
            <w:gridSpan w:val="10"/>
            <w:tcBorders>
              <w:top w:val="nil"/>
              <w:left w:val="nil"/>
              <w:bottom w:val="nil"/>
              <w:right w:val="nil"/>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注：本表反映部门本年度各项支出情况。</w:t>
            </w:r>
          </w:p>
        </w:tc>
      </w:tr>
    </w:tbl>
    <w:p>
      <w:pPr>
        <w:rPr>
          <w:sz w:val="30"/>
          <w:szCs w:val="30"/>
        </w:rPr>
      </w:pPr>
    </w:p>
    <w:tbl>
      <w:tblPr>
        <w:tblStyle w:val="8"/>
        <w:tblW w:w="13901" w:type="dxa"/>
        <w:tblInd w:w="93" w:type="dxa"/>
        <w:tblLayout w:type="fixed"/>
        <w:tblCellMar>
          <w:top w:w="0" w:type="dxa"/>
          <w:left w:w="108" w:type="dxa"/>
          <w:bottom w:w="0" w:type="dxa"/>
          <w:right w:w="108" w:type="dxa"/>
        </w:tblCellMar>
      </w:tblPr>
      <w:tblGrid>
        <w:gridCol w:w="3413"/>
        <w:gridCol w:w="603"/>
        <w:gridCol w:w="1311"/>
        <w:gridCol w:w="3663"/>
        <w:gridCol w:w="603"/>
        <w:gridCol w:w="1290"/>
        <w:gridCol w:w="1498"/>
        <w:gridCol w:w="1520"/>
      </w:tblGrid>
      <w:tr>
        <w:tblPrEx>
          <w:tblLayout w:type="fixed"/>
          <w:tblCellMar>
            <w:top w:w="0" w:type="dxa"/>
            <w:left w:w="108" w:type="dxa"/>
            <w:bottom w:w="0" w:type="dxa"/>
            <w:right w:w="108" w:type="dxa"/>
          </w:tblCellMar>
        </w:tblPrEx>
        <w:trPr>
          <w:trHeight w:val="394" w:hRule="atLeast"/>
        </w:trPr>
        <w:tc>
          <w:tcPr>
            <w:tcW w:w="341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0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1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663" w:type="dxa"/>
            <w:tcBorders>
              <w:top w:val="nil"/>
              <w:left w:val="nil"/>
              <w:bottom w:val="nil"/>
              <w:right w:val="nil"/>
            </w:tcBorders>
            <w:vAlign w:val="bottom"/>
          </w:tcPr>
          <w:p>
            <w:pPr>
              <w:widowControl/>
              <w:jc w:val="center"/>
              <w:rPr>
                <w:rFonts w:ascii="宋体" w:cs="Arial"/>
                <w:color w:val="000000"/>
                <w:kern w:val="0"/>
                <w:sz w:val="30"/>
                <w:szCs w:val="30"/>
              </w:rPr>
            </w:pPr>
            <w:r>
              <w:rPr>
                <w:rFonts w:hint="eastAsia" w:ascii="宋体" w:hAnsi="宋体" w:cs="Arial"/>
                <w:color w:val="000000"/>
                <w:kern w:val="0"/>
                <w:sz w:val="30"/>
                <w:szCs w:val="30"/>
              </w:rPr>
              <w:t>财政拨款收入支出决算总表</w:t>
            </w:r>
          </w:p>
        </w:tc>
        <w:tc>
          <w:tcPr>
            <w:tcW w:w="60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9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9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58" w:hRule="atLeast"/>
        </w:trPr>
        <w:tc>
          <w:tcPr>
            <w:tcW w:w="341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0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1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66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0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9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9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0" w:type="dxa"/>
            <w:tcBorders>
              <w:top w:val="nil"/>
              <w:left w:val="nil"/>
              <w:bottom w:val="nil"/>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18"/>
                <w:szCs w:val="18"/>
              </w:rPr>
              <w:t>公开</w:t>
            </w:r>
            <w:r>
              <w:rPr>
                <w:rFonts w:ascii="宋体" w:cs="Arial"/>
                <w:color w:val="000000"/>
                <w:kern w:val="0"/>
                <w:sz w:val="18"/>
                <w:szCs w:val="18"/>
              </w:rPr>
              <w:t>0</w:t>
            </w:r>
            <w:r>
              <w:rPr>
                <w:rFonts w:ascii="宋体" w:hAnsi="宋体" w:cs="Arial"/>
                <w:color w:val="000000"/>
                <w:kern w:val="0"/>
                <w:sz w:val="18"/>
                <w:szCs w:val="18"/>
              </w:rPr>
              <w:t>4</w:t>
            </w:r>
            <w:r>
              <w:rPr>
                <w:rFonts w:hint="eastAsia" w:ascii="宋体" w:hAnsi="宋体" w:cs="Arial"/>
                <w:color w:val="000000"/>
                <w:kern w:val="0"/>
                <w:sz w:val="20"/>
                <w:szCs w:val="20"/>
              </w:rPr>
              <w:t>表</w:t>
            </w:r>
          </w:p>
        </w:tc>
      </w:tr>
      <w:tr>
        <w:tblPrEx>
          <w:tblLayout w:type="fixed"/>
          <w:tblCellMar>
            <w:top w:w="0" w:type="dxa"/>
            <w:left w:w="108" w:type="dxa"/>
            <w:bottom w:w="0" w:type="dxa"/>
            <w:right w:w="108" w:type="dxa"/>
          </w:tblCellMar>
        </w:tblPrEx>
        <w:trPr>
          <w:trHeight w:val="258" w:hRule="atLeast"/>
        </w:trPr>
        <w:tc>
          <w:tcPr>
            <w:tcW w:w="3413" w:type="dxa"/>
            <w:tcBorders>
              <w:top w:val="nil"/>
              <w:left w:val="nil"/>
              <w:bottom w:val="nil"/>
              <w:right w:val="nil"/>
            </w:tcBorders>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部门：洞口县统计局</w:t>
            </w:r>
          </w:p>
        </w:tc>
        <w:tc>
          <w:tcPr>
            <w:tcW w:w="60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1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66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0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9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9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0" w:type="dxa"/>
            <w:tcBorders>
              <w:top w:val="nil"/>
              <w:left w:val="nil"/>
              <w:bottom w:val="nil"/>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11" w:hRule="atLeast"/>
        </w:trPr>
        <w:tc>
          <w:tcPr>
            <w:tcW w:w="5327"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收</w:t>
            </w:r>
            <w:r>
              <w:rPr>
                <w:rFonts w:ascii="宋体" w:hAnsi="宋体" w:cs="Arial"/>
                <w:color w:val="000000"/>
                <w:kern w:val="0"/>
                <w:sz w:val="22"/>
                <w:szCs w:val="22"/>
              </w:rPr>
              <w:t xml:space="preserve">     </w:t>
            </w:r>
            <w:r>
              <w:rPr>
                <w:rFonts w:hint="eastAsia" w:ascii="宋体" w:hAnsi="宋体" w:cs="Arial"/>
                <w:color w:val="000000"/>
                <w:kern w:val="0"/>
                <w:sz w:val="22"/>
                <w:szCs w:val="22"/>
              </w:rPr>
              <w:t>入</w:t>
            </w:r>
          </w:p>
        </w:tc>
        <w:tc>
          <w:tcPr>
            <w:tcW w:w="8574" w:type="dxa"/>
            <w:gridSpan w:val="5"/>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支</w:t>
            </w:r>
            <w:r>
              <w:rPr>
                <w:rFonts w:ascii="宋体" w:hAnsi="宋体" w:cs="Arial"/>
                <w:color w:val="000000"/>
                <w:kern w:val="0"/>
                <w:sz w:val="22"/>
                <w:szCs w:val="22"/>
              </w:rPr>
              <w:t xml:space="preserve">     </w:t>
            </w:r>
            <w:r>
              <w:rPr>
                <w:rFonts w:hint="eastAsia" w:ascii="宋体" w:hAnsi="宋体" w:cs="Arial"/>
                <w:color w:val="000000"/>
                <w:kern w:val="0"/>
                <w:sz w:val="22"/>
                <w:szCs w:val="22"/>
              </w:rPr>
              <w:t>出</w:t>
            </w:r>
          </w:p>
        </w:tc>
      </w:tr>
      <w:tr>
        <w:tblPrEx>
          <w:tblLayout w:type="fixed"/>
          <w:tblCellMar>
            <w:top w:w="0" w:type="dxa"/>
            <w:left w:w="108" w:type="dxa"/>
            <w:bottom w:w="0" w:type="dxa"/>
            <w:right w:w="108" w:type="dxa"/>
          </w:tblCellMar>
        </w:tblPrEx>
        <w:trPr>
          <w:trHeight w:val="315" w:hRule="atLeast"/>
        </w:trPr>
        <w:tc>
          <w:tcPr>
            <w:tcW w:w="3413"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w:t>
            </w:r>
          </w:p>
        </w:tc>
        <w:tc>
          <w:tcPr>
            <w:tcW w:w="603"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行次</w:t>
            </w:r>
          </w:p>
        </w:tc>
        <w:tc>
          <w:tcPr>
            <w:tcW w:w="131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金额</w:t>
            </w:r>
          </w:p>
        </w:tc>
        <w:tc>
          <w:tcPr>
            <w:tcW w:w="3663"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w:t>
            </w:r>
          </w:p>
        </w:tc>
        <w:tc>
          <w:tcPr>
            <w:tcW w:w="603"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行次</w:t>
            </w:r>
          </w:p>
        </w:tc>
        <w:tc>
          <w:tcPr>
            <w:tcW w:w="129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合计</w:t>
            </w:r>
          </w:p>
        </w:tc>
        <w:tc>
          <w:tcPr>
            <w:tcW w:w="149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一般公共预算财政拨款</w:t>
            </w:r>
          </w:p>
        </w:tc>
        <w:tc>
          <w:tcPr>
            <w:tcW w:w="152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政府性基金预算财政拨款</w:t>
            </w:r>
          </w:p>
        </w:tc>
      </w:tr>
      <w:tr>
        <w:tblPrEx>
          <w:tblLayout w:type="fixed"/>
          <w:tblCellMar>
            <w:top w:w="0" w:type="dxa"/>
            <w:left w:w="108" w:type="dxa"/>
            <w:bottom w:w="0" w:type="dxa"/>
            <w:right w:w="108" w:type="dxa"/>
          </w:tblCellMar>
        </w:tblPrEx>
        <w:trPr>
          <w:trHeight w:val="621" w:hRule="atLeast"/>
        </w:trPr>
        <w:tc>
          <w:tcPr>
            <w:tcW w:w="34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603"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311"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3663"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603"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29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98"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52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栏次</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c>
          <w:tcPr>
            <w:tcW w:w="131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366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栏次</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c>
          <w:tcPr>
            <w:tcW w:w="129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49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52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一、一般公共预算财政拨款</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677.83</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一、一般公共服务支出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30</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609.17</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609.17</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二、政府性基金预算财政拨款</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二、外交支出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31</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三、国防支出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32</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四、公共安全支出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33</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五、教育支出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34</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6</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六、科学技术支出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35</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7</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七、文化旅游体育与传媒支出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36</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8</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八、社会保障和就业支出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37</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9</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九、卫生健康支出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38</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10</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十、节能环保支出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39</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11</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十一、城乡社区支出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40</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12</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十二、农林水支出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41</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68.66</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68.66</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13</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十三、交通运输支出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42</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14</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十四、资源勘探信息等支出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43</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15</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十五、商业服务业等支出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44</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16</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十六、金融支出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45</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17</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十七、援助其他地区支出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46</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18</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十八、自然资源海洋气象等支出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47</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19</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十九、住房保障支出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48</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20</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二十、粮油物资储备支出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49</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21</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二十一、灾害防治及应急管理支出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50</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22</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二十二、其他支出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51</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23</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52</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b/>
                <w:bCs/>
                <w:color w:val="000000"/>
                <w:kern w:val="0"/>
                <w:sz w:val="22"/>
                <w:szCs w:val="22"/>
              </w:rPr>
            </w:pPr>
            <w:r>
              <w:rPr>
                <w:rFonts w:hint="eastAsia" w:ascii="宋体" w:hAnsi="宋体" w:cs="Arial"/>
                <w:b/>
                <w:bCs/>
                <w:color w:val="000000"/>
                <w:kern w:val="0"/>
                <w:sz w:val="22"/>
                <w:szCs w:val="22"/>
              </w:rPr>
              <w:t>本年收入合计</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24</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677.83</w:t>
            </w:r>
          </w:p>
        </w:tc>
        <w:tc>
          <w:tcPr>
            <w:tcW w:w="366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b/>
                <w:bCs/>
                <w:color w:val="000000"/>
                <w:kern w:val="0"/>
                <w:sz w:val="22"/>
                <w:szCs w:val="22"/>
              </w:rPr>
            </w:pPr>
            <w:r>
              <w:rPr>
                <w:rFonts w:hint="eastAsia" w:ascii="宋体" w:hAnsi="宋体" w:cs="Arial"/>
                <w:b/>
                <w:bCs/>
                <w:color w:val="000000"/>
                <w:kern w:val="0"/>
                <w:sz w:val="22"/>
                <w:szCs w:val="22"/>
              </w:rPr>
              <w:t>本年支出合计</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53</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677.83</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677.83</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年初财政拨款结转和结余</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25</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年末财政拨款结转和结余</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54</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一、一般公共预算财政拨款</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26</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55</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二、政府性基金预算财政拨款</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27</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56</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28</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57</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11"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b/>
                <w:bCs/>
                <w:color w:val="000000"/>
                <w:kern w:val="0"/>
                <w:sz w:val="22"/>
                <w:szCs w:val="22"/>
              </w:rPr>
            </w:pPr>
            <w:r>
              <w:rPr>
                <w:rFonts w:hint="eastAsia" w:ascii="宋体" w:hAnsi="宋体" w:cs="Arial"/>
                <w:b/>
                <w:bCs/>
                <w:color w:val="000000"/>
                <w:kern w:val="0"/>
                <w:sz w:val="22"/>
                <w:szCs w:val="22"/>
              </w:rPr>
              <w:t>总计</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29</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677.83</w:t>
            </w:r>
          </w:p>
        </w:tc>
        <w:tc>
          <w:tcPr>
            <w:tcW w:w="366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b/>
                <w:bCs/>
                <w:color w:val="000000"/>
                <w:kern w:val="0"/>
                <w:sz w:val="22"/>
                <w:szCs w:val="22"/>
              </w:rPr>
            </w:pPr>
            <w:r>
              <w:rPr>
                <w:rFonts w:hint="eastAsia" w:ascii="宋体" w:hAnsi="宋体" w:cs="Arial"/>
                <w:b/>
                <w:bCs/>
                <w:color w:val="000000"/>
                <w:kern w:val="0"/>
                <w:sz w:val="22"/>
                <w:szCs w:val="22"/>
              </w:rPr>
              <w:t>总计</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58</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677.83</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677.83</w:t>
            </w:r>
          </w:p>
        </w:tc>
        <w:tc>
          <w:tcPr>
            <w:tcW w:w="152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1" w:hRule="atLeast"/>
        </w:trPr>
        <w:tc>
          <w:tcPr>
            <w:tcW w:w="13901" w:type="dxa"/>
            <w:gridSpan w:val="8"/>
            <w:tcBorders>
              <w:top w:val="nil"/>
              <w:left w:val="nil"/>
              <w:bottom w:val="nil"/>
              <w:right w:val="nil"/>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注：本表反映部门本年度一般公共预算财政拨款和政府性基金预算财政拨款的总收支和年末结转结余情况。</w:t>
            </w:r>
          </w:p>
        </w:tc>
      </w:tr>
    </w:tbl>
    <w:p>
      <w:pPr>
        <w:rPr>
          <w:sz w:val="30"/>
          <w:szCs w:val="30"/>
        </w:rPr>
      </w:pPr>
    </w:p>
    <w:p>
      <w:pPr>
        <w:rPr>
          <w:sz w:val="30"/>
          <w:szCs w:val="30"/>
        </w:rPr>
      </w:pPr>
    </w:p>
    <w:p>
      <w:pPr>
        <w:rPr>
          <w:sz w:val="30"/>
          <w:szCs w:val="30"/>
        </w:rPr>
      </w:pPr>
    </w:p>
    <w:p>
      <w:pPr>
        <w:rPr>
          <w:sz w:val="30"/>
          <w:szCs w:val="30"/>
        </w:rPr>
      </w:pPr>
    </w:p>
    <w:p>
      <w:pPr>
        <w:rPr>
          <w:sz w:val="30"/>
          <w:szCs w:val="30"/>
        </w:rPr>
      </w:pPr>
    </w:p>
    <w:tbl>
      <w:tblPr>
        <w:tblStyle w:val="8"/>
        <w:tblW w:w="14235" w:type="dxa"/>
        <w:tblInd w:w="93" w:type="dxa"/>
        <w:tblLayout w:type="fixed"/>
        <w:tblCellMar>
          <w:top w:w="0" w:type="dxa"/>
          <w:left w:w="108" w:type="dxa"/>
          <w:bottom w:w="0" w:type="dxa"/>
          <w:right w:w="108" w:type="dxa"/>
        </w:tblCellMar>
      </w:tblPr>
      <w:tblGrid>
        <w:gridCol w:w="3413"/>
        <w:gridCol w:w="603"/>
        <w:gridCol w:w="1311"/>
        <w:gridCol w:w="3663"/>
        <w:gridCol w:w="603"/>
        <w:gridCol w:w="1290"/>
        <w:gridCol w:w="1498"/>
        <w:gridCol w:w="1854"/>
      </w:tblGrid>
      <w:tr>
        <w:tblPrEx>
          <w:tblLayout w:type="fixed"/>
          <w:tblCellMar>
            <w:top w:w="0" w:type="dxa"/>
            <w:left w:w="108" w:type="dxa"/>
            <w:bottom w:w="0" w:type="dxa"/>
            <w:right w:w="108" w:type="dxa"/>
          </w:tblCellMar>
        </w:tblPrEx>
        <w:trPr>
          <w:trHeight w:val="402" w:hRule="atLeast"/>
        </w:trPr>
        <w:tc>
          <w:tcPr>
            <w:tcW w:w="341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0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1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266" w:type="dxa"/>
            <w:gridSpan w:val="2"/>
            <w:tcBorders>
              <w:top w:val="nil"/>
              <w:left w:val="nil"/>
              <w:bottom w:val="nil"/>
              <w:right w:val="nil"/>
            </w:tcBorders>
            <w:vAlign w:val="bottom"/>
          </w:tcPr>
          <w:p>
            <w:pPr>
              <w:widowControl/>
              <w:jc w:val="center"/>
              <w:rPr>
                <w:rFonts w:ascii="宋体" w:cs="Arial"/>
                <w:color w:val="000000"/>
                <w:kern w:val="0"/>
                <w:sz w:val="30"/>
                <w:szCs w:val="30"/>
              </w:rPr>
            </w:pPr>
            <w:r>
              <w:rPr>
                <w:rFonts w:hint="eastAsia" w:ascii="宋体" w:hAnsi="宋体" w:cs="Arial"/>
                <w:color w:val="000000"/>
                <w:kern w:val="0"/>
                <w:sz w:val="30"/>
                <w:szCs w:val="30"/>
              </w:rPr>
              <w:t>财政拨款收入支出决算总表</w:t>
            </w:r>
          </w:p>
        </w:tc>
        <w:tc>
          <w:tcPr>
            <w:tcW w:w="129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9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854"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3" w:hRule="atLeast"/>
        </w:trPr>
        <w:tc>
          <w:tcPr>
            <w:tcW w:w="341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0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1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66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0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9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9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854" w:type="dxa"/>
            <w:tcBorders>
              <w:top w:val="nil"/>
              <w:left w:val="nil"/>
              <w:bottom w:val="nil"/>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18"/>
                <w:szCs w:val="18"/>
              </w:rPr>
              <w:t>公开</w:t>
            </w:r>
            <w:r>
              <w:rPr>
                <w:rFonts w:ascii="宋体" w:cs="Arial"/>
                <w:color w:val="000000"/>
                <w:kern w:val="0"/>
                <w:sz w:val="18"/>
                <w:szCs w:val="18"/>
              </w:rPr>
              <w:t>0</w:t>
            </w:r>
            <w:r>
              <w:rPr>
                <w:rFonts w:ascii="宋体" w:hAnsi="宋体" w:cs="Arial"/>
                <w:color w:val="000000"/>
                <w:kern w:val="0"/>
                <w:sz w:val="18"/>
                <w:szCs w:val="18"/>
              </w:rPr>
              <w:t>4</w:t>
            </w:r>
            <w:r>
              <w:rPr>
                <w:rFonts w:hint="eastAsia" w:ascii="宋体" w:hAnsi="宋体" w:cs="Arial"/>
                <w:color w:val="000000"/>
                <w:kern w:val="0"/>
                <w:sz w:val="20"/>
                <w:szCs w:val="20"/>
              </w:rPr>
              <w:t>表</w:t>
            </w:r>
          </w:p>
        </w:tc>
      </w:tr>
      <w:tr>
        <w:tblPrEx>
          <w:tblLayout w:type="fixed"/>
          <w:tblCellMar>
            <w:top w:w="0" w:type="dxa"/>
            <w:left w:w="108" w:type="dxa"/>
            <w:bottom w:w="0" w:type="dxa"/>
            <w:right w:w="108" w:type="dxa"/>
          </w:tblCellMar>
        </w:tblPrEx>
        <w:trPr>
          <w:trHeight w:val="263" w:hRule="atLeast"/>
        </w:trPr>
        <w:tc>
          <w:tcPr>
            <w:tcW w:w="3413" w:type="dxa"/>
            <w:tcBorders>
              <w:top w:val="nil"/>
              <w:left w:val="nil"/>
              <w:bottom w:val="nil"/>
              <w:right w:val="nil"/>
            </w:tcBorders>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部门：洞口县统计局</w:t>
            </w:r>
          </w:p>
        </w:tc>
        <w:tc>
          <w:tcPr>
            <w:tcW w:w="60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1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66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0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9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9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854" w:type="dxa"/>
            <w:tcBorders>
              <w:top w:val="nil"/>
              <w:left w:val="nil"/>
              <w:bottom w:val="nil"/>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17" w:hRule="atLeast"/>
        </w:trPr>
        <w:tc>
          <w:tcPr>
            <w:tcW w:w="5327"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收</w:t>
            </w:r>
            <w:r>
              <w:rPr>
                <w:rFonts w:ascii="宋体" w:hAnsi="宋体" w:cs="Arial"/>
                <w:color w:val="000000"/>
                <w:kern w:val="0"/>
                <w:sz w:val="22"/>
                <w:szCs w:val="22"/>
              </w:rPr>
              <w:t xml:space="preserve">     </w:t>
            </w:r>
            <w:r>
              <w:rPr>
                <w:rFonts w:hint="eastAsia" w:ascii="宋体" w:hAnsi="宋体" w:cs="Arial"/>
                <w:color w:val="000000"/>
                <w:kern w:val="0"/>
                <w:sz w:val="22"/>
                <w:szCs w:val="22"/>
              </w:rPr>
              <w:t>入</w:t>
            </w:r>
          </w:p>
        </w:tc>
        <w:tc>
          <w:tcPr>
            <w:tcW w:w="8908" w:type="dxa"/>
            <w:gridSpan w:val="5"/>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支</w:t>
            </w:r>
            <w:r>
              <w:rPr>
                <w:rFonts w:ascii="宋体" w:hAnsi="宋体" w:cs="Arial"/>
                <w:color w:val="000000"/>
                <w:kern w:val="0"/>
                <w:sz w:val="22"/>
                <w:szCs w:val="22"/>
              </w:rPr>
              <w:t xml:space="preserve">     </w:t>
            </w:r>
            <w:r>
              <w:rPr>
                <w:rFonts w:hint="eastAsia" w:ascii="宋体" w:hAnsi="宋体" w:cs="Arial"/>
                <w:color w:val="000000"/>
                <w:kern w:val="0"/>
                <w:sz w:val="22"/>
                <w:szCs w:val="22"/>
              </w:rPr>
              <w:t>出</w:t>
            </w:r>
          </w:p>
        </w:tc>
      </w:tr>
      <w:tr>
        <w:tblPrEx>
          <w:tblLayout w:type="fixed"/>
          <w:tblCellMar>
            <w:top w:w="0" w:type="dxa"/>
            <w:left w:w="108" w:type="dxa"/>
            <w:bottom w:w="0" w:type="dxa"/>
            <w:right w:w="108" w:type="dxa"/>
          </w:tblCellMar>
        </w:tblPrEx>
        <w:trPr>
          <w:trHeight w:val="321" w:hRule="atLeast"/>
        </w:trPr>
        <w:tc>
          <w:tcPr>
            <w:tcW w:w="3413"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w:t>
            </w:r>
          </w:p>
        </w:tc>
        <w:tc>
          <w:tcPr>
            <w:tcW w:w="603"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行次</w:t>
            </w:r>
          </w:p>
        </w:tc>
        <w:tc>
          <w:tcPr>
            <w:tcW w:w="131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金额</w:t>
            </w:r>
          </w:p>
        </w:tc>
        <w:tc>
          <w:tcPr>
            <w:tcW w:w="3663"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w:t>
            </w:r>
          </w:p>
        </w:tc>
        <w:tc>
          <w:tcPr>
            <w:tcW w:w="603"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行次</w:t>
            </w:r>
          </w:p>
        </w:tc>
        <w:tc>
          <w:tcPr>
            <w:tcW w:w="129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合计</w:t>
            </w:r>
          </w:p>
        </w:tc>
        <w:tc>
          <w:tcPr>
            <w:tcW w:w="149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一般公共预算财政拨款</w:t>
            </w:r>
          </w:p>
        </w:tc>
        <w:tc>
          <w:tcPr>
            <w:tcW w:w="1854"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政府性基金预算财政拨款</w:t>
            </w:r>
          </w:p>
        </w:tc>
      </w:tr>
      <w:tr>
        <w:tblPrEx>
          <w:tblLayout w:type="fixed"/>
          <w:tblCellMar>
            <w:top w:w="0" w:type="dxa"/>
            <w:left w:w="108" w:type="dxa"/>
            <w:bottom w:w="0" w:type="dxa"/>
            <w:right w:w="108" w:type="dxa"/>
          </w:tblCellMar>
        </w:tblPrEx>
        <w:trPr>
          <w:trHeight w:val="633" w:hRule="atLeast"/>
        </w:trPr>
        <w:tc>
          <w:tcPr>
            <w:tcW w:w="34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603"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311"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3663"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603"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29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98"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854"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栏次</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c>
          <w:tcPr>
            <w:tcW w:w="131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366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栏次</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c>
          <w:tcPr>
            <w:tcW w:w="129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49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854"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一、一般公共预算财政拨款</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677.83</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一、一般公共服务支出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30</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609.17</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609.17</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二、政府性基金预算财政拨款</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二、外交支出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31</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三、国防支出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32</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四、公共安全支出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33</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五、教育支出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34</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6</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六、科学技术支出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35</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7</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七、文化旅游体育与传媒支出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36</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8</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八、社会保障和就业支出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37</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9</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九、卫生健康支出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38</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10</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十、节能环保支出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39</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11</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十一、城乡社区支出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40</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12</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十二、农林水支出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41</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68.66</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68.66</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13</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十三、交通运输支出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42</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14</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十四、资源勘探信息等支出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43</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15</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十五、商业服务业等支出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44</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16</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十六、金融支出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45</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17</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十七、援助其他地区支出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46</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18</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十八、自然资源海洋气象等支出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47</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19</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十九、住房保障支出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48</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20</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二十、粮油物资储备支出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49</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21</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二十一、灾害防治及应急管理支出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50</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22</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二十二、其他支出</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51</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23</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52</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b/>
                <w:bCs/>
                <w:color w:val="000000"/>
                <w:kern w:val="0"/>
                <w:sz w:val="22"/>
                <w:szCs w:val="22"/>
              </w:rPr>
            </w:pPr>
            <w:r>
              <w:rPr>
                <w:rFonts w:hint="eastAsia" w:ascii="宋体" w:hAnsi="宋体" w:cs="Arial"/>
                <w:b/>
                <w:bCs/>
                <w:color w:val="000000"/>
                <w:kern w:val="0"/>
                <w:sz w:val="22"/>
                <w:szCs w:val="22"/>
              </w:rPr>
              <w:t>本年收入合计</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24</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677.83</w:t>
            </w:r>
          </w:p>
        </w:tc>
        <w:tc>
          <w:tcPr>
            <w:tcW w:w="366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b/>
                <w:bCs/>
                <w:color w:val="000000"/>
                <w:kern w:val="0"/>
                <w:sz w:val="22"/>
                <w:szCs w:val="22"/>
              </w:rPr>
            </w:pPr>
            <w:r>
              <w:rPr>
                <w:rFonts w:hint="eastAsia" w:ascii="宋体" w:hAnsi="宋体" w:cs="Arial"/>
                <w:b/>
                <w:bCs/>
                <w:color w:val="000000"/>
                <w:kern w:val="0"/>
                <w:sz w:val="22"/>
                <w:szCs w:val="22"/>
              </w:rPr>
              <w:t>本年支出合计</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53</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677.83</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677.83</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年初财政拨款结转和结余</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25</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年末财政拨款结转和结余</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54</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一、一般公共预算财政拨款</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26</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55</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二、政府性基金预算财政拨款</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27</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56</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28</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66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57</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17" w:hRule="atLeast"/>
        </w:trPr>
        <w:tc>
          <w:tcPr>
            <w:tcW w:w="3413"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b/>
                <w:bCs/>
                <w:color w:val="000000"/>
                <w:kern w:val="0"/>
                <w:sz w:val="22"/>
                <w:szCs w:val="22"/>
              </w:rPr>
            </w:pPr>
            <w:r>
              <w:rPr>
                <w:rFonts w:hint="eastAsia" w:ascii="宋体" w:hAnsi="宋体" w:cs="Arial"/>
                <w:b/>
                <w:bCs/>
                <w:color w:val="000000"/>
                <w:kern w:val="0"/>
                <w:sz w:val="22"/>
                <w:szCs w:val="22"/>
              </w:rPr>
              <w:t>总计</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29</w:t>
            </w:r>
          </w:p>
        </w:tc>
        <w:tc>
          <w:tcPr>
            <w:tcW w:w="131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677.83</w:t>
            </w:r>
          </w:p>
        </w:tc>
        <w:tc>
          <w:tcPr>
            <w:tcW w:w="366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b/>
                <w:bCs/>
                <w:color w:val="000000"/>
                <w:kern w:val="0"/>
                <w:sz w:val="22"/>
                <w:szCs w:val="22"/>
              </w:rPr>
            </w:pPr>
            <w:r>
              <w:rPr>
                <w:rFonts w:hint="eastAsia" w:ascii="宋体" w:hAnsi="宋体" w:cs="Arial"/>
                <w:b/>
                <w:bCs/>
                <w:color w:val="000000"/>
                <w:kern w:val="0"/>
                <w:sz w:val="22"/>
                <w:szCs w:val="22"/>
              </w:rPr>
              <w:t>总计</w:t>
            </w:r>
          </w:p>
        </w:tc>
        <w:tc>
          <w:tcPr>
            <w:tcW w:w="6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58</w:t>
            </w:r>
          </w:p>
        </w:tc>
        <w:tc>
          <w:tcPr>
            <w:tcW w:w="129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677.83</w:t>
            </w:r>
          </w:p>
        </w:tc>
        <w:tc>
          <w:tcPr>
            <w:tcW w:w="149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677.83</w:t>
            </w:r>
          </w:p>
        </w:tc>
        <w:tc>
          <w:tcPr>
            <w:tcW w:w="185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17" w:hRule="atLeast"/>
        </w:trPr>
        <w:tc>
          <w:tcPr>
            <w:tcW w:w="14235" w:type="dxa"/>
            <w:gridSpan w:val="8"/>
            <w:tcBorders>
              <w:top w:val="nil"/>
              <w:left w:val="nil"/>
              <w:bottom w:val="nil"/>
              <w:right w:val="nil"/>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注：本表反映部门本年度一般公共预算财政拨款和政府性基金预算财政拨款的总收支和年末结转结余情况。</w:t>
            </w:r>
          </w:p>
        </w:tc>
      </w:tr>
    </w:tbl>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tbl>
      <w:tblPr>
        <w:tblStyle w:val="8"/>
        <w:tblW w:w="14775" w:type="dxa"/>
        <w:tblInd w:w="93" w:type="dxa"/>
        <w:tblLayout w:type="fixed"/>
        <w:tblCellMar>
          <w:top w:w="0" w:type="dxa"/>
          <w:left w:w="108" w:type="dxa"/>
          <w:bottom w:w="0" w:type="dxa"/>
          <w:right w:w="108" w:type="dxa"/>
        </w:tblCellMar>
      </w:tblPr>
      <w:tblGrid>
        <w:gridCol w:w="417"/>
        <w:gridCol w:w="349"/>
        <w:gridCol w:w="66"/>
        <w:gridCol w:w="403"/>
        <w:gridCol w:w="3011"/>
        <w:gridCol w:w="1200"/>
        <w:gridCol w:w="635"/>
        <w:gridCol w:w="131"/>
        <w:gridCol w:w="2400"/>
        <w:gridCol w:w="70"/>
        <w:gridCol w:w="1210"/>
        <w:gridCol w:w="766"/>
        <w:gridCol w:w="649"/>
        <w:gridCol w:w="1848"/>
        <w:gridCol w:w="173"/>
        <w:gridCol w:w="656"/>
        <w:gridCol w:w="791"/>
      </w:tblGrid>
      <w:tr>
        <w:tblPrEx>
          <w:tblLayout w:type="fixed"/>
          <w:tblCellMar>
            <w:top w:w="0" w:type="dxa"/>
            <w:left w:w="108" w:type="dxa"/>
            <w:bottom w:w="0" w:type="dxa"/>
            <w:right w:w="108" w:type="dxa"/>
          </w:tblCellMar>
        </w:tblPrEx>
        <w:trPr>
          <w:gridAfter w:val="1"/>
          <w:wAfter w:w="791" w:type="dxa"/>
          <w:trHeight w:val="430" w:hRule="atLeast"/>
        </w:trPr>
        <w:tc>
          <w:tcPr>
            <w:tcW w:w="41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15"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40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072" w:type="dxa"/>
            <w:gridSpan w:val="9"/>
            <w:tcBorders>
              <w:top w:val="nil"/>
              <w:left w:val="nil"/>
              <w:bottom w:val="nil"/>
              <w:right w:val="nil"/>
            </w:tcBorders>
            <w:vAlign w:val="bottom"/>
          </w:tcPr>
          <w:p>
            <w:pPr>
              <w:widowControl/>
              <w:jc w:val="center"/>
              <w:rPr>
                <w:rFonts w:ascii="宋体" w:cs="Arial"/>
                <w:color w:val="000000"/>
                <w:kern w:val="0"/>
                <w:sz w:val="30"/>
                <w:szCs w:val="30"/>
              </w:rPr>
            </w:pPr>
            <w:r>
              <w:rPr>
                <w:rFonts w:hint="eastAsia" w:ascii="宋体" w:hAnsi="宋体" w:cs="Arial"/>
                <w:color w:val="000000"/>
                <w:kern w:val="0"/>
                <w:sz w:val="30"/>
                <w:szCs w:val="30"/>
              </w:rPr>
              <w:t>一般公共预算财政拨款支出决算表</w:t>
            </w:r>
          </w:p>
        </w:tc>
        <w:tc>
          <w:tcPr>
            <w:tcW w:w="2677"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1"/>
          <w:wAfter w:w="791" w:type="dxa"/>
          <w:trHeight w:val="281" w:hRule="atLeast"/>
        </w:trPr>
        <w:tc>
          <w:tcPr>
            <w:tcW w:w="41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15"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40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846"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2601"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2625"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2677" w:type="dxa"/>
            <w:gridSpan w:val="3"/>
            <w:tcBorders>
              <w:top w:val="nil"/>
              <w:left w:val="nil"/>
              <w:bottom w:val="nil"/>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18"/>
                <w:szCs w:val="18"/>
              </w:rPr>
              <w:t>公开</w:t>
            </w:r>
            <w:r>
              <w:rPr>
                <w:rFonts w:ascii="宋体" w:cs="Arial"/>
                <w:color w:val="000000"/>
                <w:kern w:val="0"/>
                <w:sz w:val="18"/>
                <w:szCs w:val="18"/>
              </w:rPr>
              <w:t>0</w:t>
            </w:r>
            <w:r>
              <w:rPr>
                <w:rFonts w:ascii="宋体" w:hAnsi="宋体" w:cs="Arial"/>
                <w:color w:val="000000"/>
                <w:kern w:val="0"/>
                <w:sz w:val="18"/>
                <w:szCs w:val="18"/>
              </w:rPr>
              <w:t>5</w:t>
            </w:r>
            <w:r>
              <w:rPr>
                <w:rFonts w:hint="eastAsia" w:ascii="宋体" w:hAnsi="宋体" w:cs="Arial"/>
                <w:color w:val="000000"/>
                <w:kern w:val="0"/>
                <w:sz w:val="18"/>
                <w:szCs w:val="18"/>
              </w:rPr>
              <w:t>表</w:t>
            </w:r>
          </w:p>
        </w:tc>
      </w:tr>
      <w:tr>
        <w:tblPrEx>
          <w:tblLayout w:type="fixed"/>
          <w:tblCellMar>
            <w:top w:w="0" w:type="dxa"/>
            <w:left w:w="108" w:type="dxa"/>
            <w:bottom w:w="0" w:type="dxa"/>
            <w:right w:w="108" w:type="dxa"/>
          </w:tblCellMar>
        </w:tblPrEx>
        <w:trPr>
          <w:gridAfter w:val="1"/>
          <w:wAfter w:w="791" w:type="dxa"/>
          <w:trHeight w:val="281" w:hRule="atLeast"/>
        </w:trPr>
        <w:tc>
          <w:tcPr>
            <w:tcW w:w="6081" w:type="dxa"/>
            <w:gridSpan w:val="7"/>
            <w:tcBorders>
              <w:top w:val="nil"/>
              <w:left w:val="nil"/>
              <w:bottom w:val="single" w:color="000000" w:sz="4" w:space="0"/>
              <w:right w:val="nil"/>
            </w:tcBorders>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部门：洞口县统计局</w:t>
            </w:r>
          </w:p>
        </w:tc>
        <w:tc>
          <w:tcPr>
            <w:tcW w:w="2601"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2625"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2677" w:type="dxa"/>
            <w:gridSpan w:val="3"/>
            <w:tcBorders>
              <w:top w:val="nil"/>
              <w:left w:val="nil"/>
              <w:bottom w:val="nil"/>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gridAfter w:val="1"/>
          <w:wAfter w:w="791" w:type="dxa"/>
          <w:trHeight w:val="340" w:hRule="atLeast"/>
        </w:trPr>
        <w:tc>
          <w:tcPr>
            <w:tcW w:w="6081" w:type="dxa"/>
            <w:gridSpan w:val="7"/>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w:t>
            </w:r>
          </w:p>
        </w:tc>
        <w:tc>
          <w:tcPr>
            <w:tcW w:w="7903" w:type="dxa"/>
            <w:gridSpan w:val="9"/>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本年支出</w:t>
            </w:r>
          </w:p>
        </w:tc>
      </w:tr>
      <w:tr>
        <w:tblPrEx>
          <w:tblLayout w:type="fixed"/>
          <w:tblCellMar>
            <w:top w:w="0" w:type="dxa"/>
            <w:left w:w="108" w:type="dxa"/>
            <w:bottom w:w="0" w:type="dxa"/>
            <w:right w:w="108" w:type="dxa"/>
          </w:tblCellMar>
        </w:tblPrEx>
        <w:trPr>
          <w:gridAfter w:val="1"/>
          <w:wAfter w:w="791" w:type="dxa"/>
          <w:trHeight w:val="344" w:hRule="atLeast"/>
        </w:trPr>
        <w:tc>
          <w:tcPr>
            <w:tcW w:w="1235" w:type="dxa"/>
            <w:gridSpan w:val="4"/>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功能分类科目编码</w:t>
            </w:r>
          </w:p>
        </w:tc>
        <w:tc>
          <w:tcPr>
            <w:tcW w:w="4846" w:type="dxa"/>
            <w:gridSpan w:val="3"/>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2601" w:type="dxa"/>
            <w:gridSpan w:val="3"/>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小计</w:t>
            </w:r>
          </w:p>
        </w:tc>
        <w:tc>
          <w:tcPr>
            <w:tcW w:w="2625" w:type="dxa"/>
            <w:gridSpan w:val="3"/>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基本支出</w:t>
            </w:r>
          </w:p>
        </w:tc>
        <w:tc>
          <w:tcPr>
            <w:tcW w:w="2677" w:type="dxa"/>
            <w:gridSpan w:val="3"/>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项目支出</w:t>
            </w:r>
          </w:p>
        </w:tc>
      </w:tr>
      <w:tr>
        <w:tblPrEx>
          <w:tblLayout w:type="fixed"/>
          <w:tblCellMar>
            <w:top w:w="0" w:type="dxa"/>
            <w:left w:w="108" w:type="dxa"/>
            <w:bottom w:w="0" w:type="dxa"/>
            <w:right w:w="108" w:type="dxa"/>
          </w:tblCellMar>
        </w:tblPrEx>
        <w:trPr>
          <w:gridAfter w:val="1"/>
          <w:wAfter w:w="791" w:type="dxa"/>
          <w:trHeight w:val="344" w:hRule="atLeast"/>
        </w:trPr>
        <w:tc>
          <w:tcPr>
            <w:tcW w:w="1235"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4846" w:type="dxa"/>
            <w:gridSpan w:val="3"/>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601" w:type="dxa"/>
            <w:gridSpan w:val="3"/>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625" w:type="dxa"/>
            <w:gridSpan w:val="3"/>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677" w:type="dxa"/>
            <w:gridSpan w:val="3"/>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gridAfter w:val="1"/>
          <w:wAfter w:w="791" w:type="dxa"/>
          <w:trHeight w:val="344" w:hRule="atLeast"/>
        </w:trPr>
        <w:tc>
          <w:tcPr>
            <w:tcW w:w="1235"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4846" w:type="dxa"/>
            <w:gridSpan w:val="3"/>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601" w:type="dxa"/>
            <w:gridSpan w:val="3"/>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625" w:type="dxa"/>
            <w:gridSpan w:val="3"/>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677" w:type="dxa"/>
            <w:gridSpan w:val="3"/>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gridAfter w:val="1"/>
          <w:wAfter w:w="791" w:type="dxa"/>
          <w:trHeight w:val="340" w:hRule="atLeast"/>
        </w:trPr>
        <w:tc>
          <w:tcPr>
            <w:tcW w:w="6081"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栏次</w:t>
            </w:r>
          </w:p>
        </w:tc>
        <w:tc>
          <w:tcPr>
            <w:tcW w:w="2601"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2625"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2677"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w:t>
            </w:r>
          </w:p>
        </w:tc>
      </w:tr>
      <w:tr>
        <w:tblPrEx>
          <w:tblLayout w:type="fixed"/>
          <w:tblCellMar>
            <w:top w:w="0" w:type="dxa"/>
            <w:left w:w="108" w:type="dxa"/>
            <w:bottom w:w="0" w:type="dxa"/>
            <w:right w:w="108" w:type="dxa"/>
          </w:tblCellMar>
        </w:tblPrEx>
        <w:trPr>
          <w:gridAfter w:val="1"/>
          <w:wAfter w:w="791" w:type="dxa"/>
          <w:trHeight w:val="340" w:hRule="atLeast"/>
        </w:trPr>
        <w:tc>
          <w:tcPr>
            <w:tcW w:w="6081"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合计</w:t>
            </w:r>
          </w:p>
        </w:tc>
        <w:tc>
          <w:tcPr>
            <w:tcW w:w="2601" w:type="dxa"/>
            <w:gridSpan w:val="3"/>
            <w:tcBorders>
              <w:top w:val="nil"/>
              <w:left w:val="nil"/>
              <w:bottom w:val="single" w:color="000000" w:sz="4" w:space="0"/>
              <w:right w:val="single" w:color="000000" w:sz="4" w:space="0"/>
            </w:tcBorders>
            <w:vAlign w:val="center"/>
          </w:tcPr>
          <w:p>
            <w:pPr>
              <w:widowControl/>
              <w:jc w:val="right"/>
              <w:rPr>
                <w:rFonts w:ascii="宋体" w:cs="Arial"/>
                <w:b/>
                <w:bCs/>
                <w:color w:val="000000"/>
                <w:kern w:val="0"/>
                <w:sz w:val="22"/>
                <w:szCs w:val="22"/>
              </w:rPr>
            </w:pPr>
            <w:r>
              <w:rPr>
                <w:rFonts w:ascii="宋体" w:hAnsi="宋体" w:cs="Arial"/>
                <w:b/>
                <w:bCs/>
                <w:color w:val="000000"/>
                <w:kern w:val="0"/>
                <w:sz w:val="22"/>
                <w:szCs w:val="22"/>
              </w:rPr>
              <w:t>677.83</w:t>
            </w:r>
          </w:p>
        </w:tc>
        <w:tc>
          <w:tcPr>
            <w:tcW w:w="2625" w:type="dxa"/>
            <w:gridSpan w:val="3"/>
            <w:tcBorders>
              <w:top w:val="nil"/>
              <w:left w:val="nil"/>
              <w:bottom w:val="single" w:color="000000" w:sz="4" w:space="0"/>
              <w:right w:val="single" w:color="000000" w:sz="4" w:space="0"/>
            </w:tcBorders>
            <w:vAlign w:val="center"/>
          </w:tcPr>
          <w:p>
            <w:pPr>
              <w:widowControl/>
              <w:jc w:val="right"/>
              <w:rPr>
                <w:rFonts w:ascii="宋体" w:cs="Arial"/>
                <w:b/>
                <w:bCs/>
                <w:color w:val="000000"/>
                <w:kern w:val="0"/>
                <w:sz w:val="22"/>
                <w:szCs w:val="22"/>
              </w:rPr>
            </w:pPr>
            <w:r>
              <w:rPr>
                <w:rFonts w:ascii="宋体" w:hAnsi="宋体" w:cs="Arial"/>
                <w:b/>
                <w:bCs/>
                <w:color w:val="000000"/>
                <w:kern w:val="0"/>
                <w:sz w:val="22"/>
                <w:szCs w:val="22"/>
              </w:rPr>
              <w:t>677.83</w:t>
            </w:r>
          </w:p>
        </w:tc>
        <w:tc>
          <w:tcPr>
            <w:tcW w:w="2677" w:type="dxa"/>
            <w:gridSpan w:val="3"/>
            <w:tcBorders>
              <w:top w:val="nil"/>
              <w:left w:val="nil"/>
              <w:bottom w:val="single" w:color="000000" w:sz="4" w:space="0"/>
              <w:right w:val="single" w:color="000000" w:sz="4" w:space="0"/>
            </w:tcBorders>
            <w:vAlign w:val="center"/>
          </w:tcPr>
          <w:p>
            <w:pPr>
              <w:widowControl/>
              <w:jc w:val="right"/>
              <w:rPr>
                <w:rFonts w:ascii="宋体" w:cs="Arial"/>
                <w:b/>
                <w:bCs/>
                <w:color w:val="000000"/>
                <w:kern w:val="0"/>
                <w:sz w:val="22"/>
                <w:szCs w:val="22"/>
              </w:rPr>
            </w:pPr>
            <w:r>
              <w:rPr>
                <w:rFonts w:ascii="宋体" w:cs="Arial"/>
                <w:b/>
                <w:bCs/>
                <w:color w:val="000000"/>
                <w:kern w:val="0"/>
                <w:sz w:val="22"/>
                <w:szCs w:val="22"/>
              </w:rPr>
              <w:t>0.00</w:t>
            </w:r>
          </w:p>
        </w:tc>
      </w:tr>
      <w:tr>
        <w:tblPrEx>
          <w:tblLayout w:type="fixed"/>
          <w:tblCellMar>
            <w:top w:w="0" w:type="dxa"/>
            <w:left w:w="108" w:type="dxa"/>
            <w:bottom w:w="0" w:type="dxa"/>
            <w:right w:w="108" w:type="dxa"/>
          </w:tblCellMar>
        </w:tblPrEx>
        <w:trPr>
          <w:gridAfter w:val="1"/>
          <w:wAfter w:w="791" w:type="dxa"/>
          <w:trHeight w:val="340" w:hRule="atLeast"/>
        </w:trPr>
        <w:tc>
          <w:tcPr>
            <w:tcW w:w="1235" w:type="dxa"/>
            <w:gridSpan w:val="4"/>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201</w:t>
            </w:r>
          </w:p>
        </w:tc>
        <w:tc>
          <w:tcPr>
            <w:tcW w:w="4846" w:type="dxa"/>
            <w:gridSpan w:val="3"/>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一般公共服务支出</w:t>
            </w:r>
          </w:p>
        </w:tc>
        <w:tc>
          <w:tcPr>
            <w:tcW w:w="2601"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609.17</w:t>
            </w:r>
          </w:p>
        </w:tc>
        <w:tc>
          <w:tcPr>
            <w:tcW w:w="2625"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609.17</w:t>
            </w:r>
          </w:p>
        </w:tc>
        <w:tc>
          <w:tcPr>
            <w:tcW w:w="2677"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gridAfter w:val="1"/>
          <w:wAfter w:w="791" w:type="dxa"/>
          <w:trHeight w:val="340" w:hRule="atLeast"/>
        </w:trPr>
        <w:tc>
          <w:tcPr>
            <w:tcW w:w="1235" w:type="dxa"/>
            <w:gridSpan w:val="4"/>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20105</w:t>
            </w:r>
          </w:p>
        </w:tc>
        <w:tc>
          <w:tcPr>
            <w:tcW w:w="4846" w:type="dxa"/>
            <w:gridSpan w:val="3"/>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统计信息事务</w:t>
            </w:r>
          </w:p>
        </w:tc>
        <w:tc>
          <w:tcPr>
            <w:tcW w:w="2601"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583.76</w:t>
            </w:r>
          </w:p>
        </w:tc>
        <w:tc>
          <w:tcPr>
            <w:tcW w:w="2625"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583.76</w:t>
            </w:r>
          </w:p>
        </w:tc>
        <w:tc>
          <w:tcPr>
            <w:tcW w:w="2677"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gridAfter w:val="1"/>
          <w:wAfter w:w="791" w:type="dxa"/>
          <w:trHeight w:val="340" w:hRule="atLeast"/>
        </w:trPr>
        <w:tc>
          <w:tcPr>
            <w:tcW w:w="1235" w:type="dxa"/>
            <w:gridSpan w:val="4"/>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2010501</w:t>
            </w:r>
          </w:p>
        </w:tc>
        <w:tc>
          <w:tcPr>
            <w:tcW w:w="4846" w:type="dxa"/>
            <w:gridSpan w:val="3"/>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行政运行</w:t>
            </w:r>
          </w:p>
        </w:tc>
        <w:tc>
          <w:tcPr>
            <w:tcW w:w="2601"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313.04</w:t>
            </w:r>
          </w:p>
        </w:tc>
        <w:tc>
          <w:tcPr>
            <w:tcW w:w="2625"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313.04</w:t>
            </w:r>
          </w:p>
        </w:tc>
        <w:tc>
          <w:tcPr>
            <w:tcW w:w="2677"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gridAfter w:val="1"/>
          <w:wAfter w:w="791" w:type="dxa"/>
          <w:trHeight w:val="340" w:hRule="atLeast"/>
        </w:trPr>
        <w:tc>
          <w:tcPr>
            <w:tcW w:w="1235" w:type="dxa"/>
            <w:gridSpan w:val="4"/>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2010505</w:t>
            </w:r>
          </w:p>
        </w:tc>
        <w:tc>
          <w:tcPr>
            <w:tcW w:w="4846" w:type="dxa"/>
            <w:gridSpan w:val="3"/>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专项统计业务</w:t>
            </w:r>
          </w:p>
        </w:tc>
        <w:tc>
          <w:tcPr>
            <w:tcW w:w="2601"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170.72</w:t>
            </w:r>
          </w:p>
        </w:tc>
        <w:tc>
          <w:tcPr>
            <w:tcW w:w="2625"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170.72</w:t>
            </w:r>
          </w:p>
        </w:tc>
        <w:tc>
          <w:tcPr>
            <w:tcW w:w="2677"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gridAfter w:val="1"/>
          <w:wAfter w:w="791" w:type="dxa"/>
          <w:trHeight w:val="340" w:hRule="atLeast"/>
        </w:trPr>
        <w:tc>
          <w:tcPr>
            <w:tcW w:w="1235" w:type="dxa"/>
            <w:gridSpan w:val="4"/>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2010599</w:t>
            </w:r>
          </w:p>
        </w:tc>
        <w:tc>
          <w:tcPr>
            <w:tcW w:w="4846" w:type="dxa"/>
            <w:gridSpan w:val="3"/>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其他统计信息事务支出</w:t>
            </w:r>
          </w:p>
        </w:tc>
        <w:tc>
          <w:tcPr>
            <w:tcW w:w="2601"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100.00</w:t>
            </w:r>
          </w:p>
        </w:tc>
        <w:tc>
          <w:tcPr>
            <w:tcW w:w="2625"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100.00</w:t>
            </w:r>
          </w:p>
        </w:tc>
        <w:tc>
          <w:tcPr>
            <w:tcW w:w="2677"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gridAfter w:val="1"/>
          <w:wAfter w:w="791" w:type="dxa"/>
          <w:trHeight w:val="340" w:hRule="atLeast"/>
        </w:trPr>
        <w:tc>
          <w:tcPr>
            <w:tcW w:w="1235" w:type="dxa"/>
            <w:gridSpan w:val="4"/>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20199</w:t>
            </w:r>
          </w:p>
        </w:tc>
        <w:tc>
          <w:tcPr>
            <w:tcW w:w="4846" w:type="dxa"/>
            <w:gridSpan w:val="3"/>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其他一般公共服务支出</w:t>
            </w:r>
          </w:p>
        </w:tc>
        <w:tc>
          <w:tcPr>
            <w:tcW w:w="2601"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25.41</w:t>
            </w:r>
          </w:p>
        </w:tc>
        <w:tc>
          <w:tcPr>
            <w:tcW w:w="2625"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25.41</w:t>
            </w:r>
          </w:p>
        </w:tc>
        <w:tc>
          <w:tcPr>
            <w:tcW w:w="2677"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gridAfter w:val="1"/>
          <w:wAfter w:w="791" w:type="dxa"/>
          <w:trHeight w:val="340" w:hRule="atLeast"/>
        </w:trPr>
        <w:tc>
          <w:tcPr>
            <w:tcW w:w="1235" w:type="dxa"/>
            <w:gridSpan w:val="4"/>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2019999</w:t>
            </w:r>
          </w:p>
        </w:tc>
        <w:tc>
          <w:tcPr>
            <w:tcW w:w="4846" w:type="dxa"/>
            <w:gridSpan w:val="3"/>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其他一般公共服务支出</w:t>
            </w:r>
          </w:p>
        </w:tc>
        <w:tc>
          <w:tcPr>
            <w:tcW w:w="2601"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25.41</w:t>
            </w:r>
          </w:p>
        </w:tc>
        <w:tc>
          <w:tcPr>
            <w:tcW w:w="2625"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25.41</w:t>
            </w:r>
          </w:p>
        </w:tc>
        <w:tc>
          <w:tcPr>
            <w:tcW w:w="2677"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gridAfter w:val="1"/>
          <w:wAfter w:w="791" w:type="dxa"/>
          <w:trHeight w:val="340" w:hRule="atLeast"/>
        </w:trPr>
        <w:tc>
          <w:tcPr>
            <w:tcW w:w="1235" w:type="dxa"/>
            <w:gridSpan w:val="4"/>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213</w:t>
            </w:r>
          </w:p>
        </w:tc>
        <w:tc>
          <w:tcPr>
            <w:tcW w:w="4846" w:type="dxa"/>
            <w:gridSpan w:val="3"/>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农林水支出</w:t>
            </w:r>
          </w:p>
        </w:tc>
        <w:tc>
          <w:tcPr>
            <w:tcW w:w="2601"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68.66</w:t>
            </w:r>
          </w:p>
        </w:tc>
        <w:tc>
          <w:tcPr>
            <w:tcW w:w="2625"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68.66</w:t>
            </w:r>
          </w:p>
        </w:tc>
        <w:tc>
          <w:tcPr>
            <w:tcW w:w="2677"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gridAfter w:val="1"/>
          <w:wAfter w:w="791" w:type="dxa"/>
          <w:trHeight w:val="340" w:hRule="atLeast"/>
        </w:trPr>
        <w:tc>
          <w:tcPr>
            <w:tcW w:w="1235" w:type="dxa"/>
            <w:gridSpan w:val="4"/>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21301</w:t>
            </w:r>
          </w:p>
        </w:tc>
        <w:tc>
          <w:tcPr>
            <w:tcW w:w="4846" w:type="dxa"/>
            <w:gridSpan w:val="3"/>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农业</w:t>
            </w:r>
          </w:p>
        </w:tc>
        <w:tc>
          <w:tcPr>
            <w:tcW w:w="2601"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60.00</w:t>
            </w:r>
          </w:p>
        </w:tc>
        <w:tc>
          <w:tcPr>
            <w:tcW w:w="2625"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60.00</w:t>
            </w:r>
          </w:p>
        </w:tc>
        <w:tc>
          <w:tcPr>
            <w:tcW w:w="2677"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gridAfter w:val="1"/>
          <w:wAfter w:w="791" w:type="dxa"/>
          <w:trHeight w:val="340" w:hRule="atLeast"/>
        </w:trPr>
        <w:tc>
          <w:tcPr>
            <w:tcW w:w="1235" w:type="dxa"/>
            <w:gridSpan w:val="4"/>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2130111</w:t>
            </w:r>
          </w:p>
        </w:tc>
        <w:tc>
          <w:tcPr>
            <w:tcW w:w="4846" w:type="dxa"/>
            <w:gridSpan w:val="3"/>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统计监测与信息服务</w:t>
            </w:r>
          </w:p>
        </w:tc>
        <w:tc>
          <w:tcPr>
            <w:tcW w:w="2601"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60.00</w:t>
            </w:r>
          </w:p>
        </w:tc>
        <w:tc>
          <w:tcPr>
            <w:tcW w:w="2625"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60.00</w:t>
            </w:r>
          </w:p>
        </w:tc>
        <w:tc>
          <w:tcPr>
            <w:tcW w:w="2677"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gridAfter w:val="1"/>
          <w:wAfter w:w="791" w:type="dxa"/>
          <w:trHeight w:val="340" w:hRule="atLeast"/>
        </w:trPr>
        <w:tc>
          <w:tcPr>
            <w:tcW w:w="1235" w:type="dxa"/>
            <w:gridSpan w:val="4"/>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21305</w:t>
            </w:r>
          </w:p>
        </w:tc>
        <w:tc>
          <w:tcPr>
            <w:tcW w:w="4846" w:type="dxa"/>
            <w:gridSpan w:val="3"/>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扶贫</w:t>
            </w:r>
          </w:p>
        </w:tc>
        <w:tc>
          <w:tcPr>
            <w:tcW w:w="2601"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8.66</w:t>
            </w:r>
          </w:p>
        </w:tc>
        <w:tc>
          <w:tcPr>
            <w:tcW w:w="2625"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8.66</w:t>
            </w:r>
          </w:p>
        </w:tc>
        <w:tc>
          <w:tcPr>
            <w:tcW w:w="2677"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gridAfter w:val="1"/>
          <w:wAfter w:w="791" w:type="dxa"/>
          <w:trHeight w:val="340" w:hRule="atLeast"/>
        </w:trPr>
        <w:tc>
          <w:tcPr>
            <w:tcW w:w="1235" w:type="dxa"/>
            <w:gridSpan w:val="4"/>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2130599</w:t>
            </w:r>
          </w:p>
        </w:tc>
        <w:tc>
          <w:tcPr>
            <w:tcW w:w="4846" w:type="dxa"/>
            <w:gridSpan w:val="3"/>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其他扶贫支出</w:t>
            </w:r>
          </w:p>
        </w:tc>
        <w:tc>
          <w:tcPr>
            <w:tcW w:w="2601"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8.66</w:t>
            </w:r>
          </w:p>
        </w:tc>
        <w:tc>
          <w:tcPr>
            <w:tcW w:w="2625"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8.66</w:t>
            </w:r>
          </w:p>
        </w:tc>
        <w:tc>
          <w:tcPr>
            <w:tcW w:w="2677"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gridAfter w:val="1"/>
          <w:wAfter w:w="791" w:type="dxa"/>
          <w:trHeight w:val="340" w:hRule="atLeast"/>
        </w:trPr>
        <w:tc>
          <w:tcPr>
            <w:tcW w:w="13984" w:type="dxa"/>
            <w:gridSpan w:val="16"/>
            <w:tcBorders>
              <w:top w:val="nil"/>
              <w:left w:val="nil"/>
              <w:bottom w:val="nil"/>
              <w:right w:val="nil"/>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注：本表反映部门本年度一般公共预算财政拨款支出情况。</w:t>
            </w:r>
          </w:p>
        </w:tc>
      </w:tr>
      <w:tr>
        <w:tblPrEx>
          <w:tblLayout w:type="fixed"/>
          <w:tblCellMar>
            <w:top w:w="0" w:type="dxa"/>
            <w:left w:w="108" w:type="dxa"/>
            <w:bottom w:w="0" w:type="dxa"/>
            <w:right w:w="108" w:type="dxa"/>
          </w:tblCellMar>
        </w:tblPrEx>
        <w:trPr>
          <w:trHeight w:val="390" w:hRule="atLeast"/>
        </w:trPr>
        <w:tc>
          <w:tcPr>
            <w:tcW w:w="766"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3480"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6412" w:type="dxa"/>
            <w:gridSpan w:val="7"/>
            <w:tcBorders>
              <w:top w:val="nil"/>
              <w:left w:val="nil"/>
              <w:bottom w:val="nil"/>
              <w:right w:val="nil"/>
            </w:tcBorders>
            <w:vAlign w:val="bottom"/>
          </w:tcPr>
          <w:p>
            <w:pPr>
              <w:widowControl/>
              <w:jc w:val="center"/>
              <w:rPr>
                <w:rFonts w:ascii="宋体" w:cs="Arial"/>
                <w:color w:val="000000"/>
                <w:kern w:val="0"/>
                <w:sz w:val="30"/>
                <w:szCs w:val="30"/>
              </w:rPr>
            </w:pPr>
            <w:r>
              <w:rPr>
                <w:rFonts w:hint="eastAsia" w:ascii="宋体" w:hAnsi="宋体" w:cs="Arial"/>
                <w:color w:val="000000"/>
                <w:kern w:val="0"/>
                <w:sz w:val="30"/>
                <w:szCs w:val="30"/>
              </w:rPr>
              <w:t>一般公共预算财政拨款基本支出决算表</w:t>
            </w:r>
          </w:p>
        </w:tc>
        <w:tc>
          <w:tcPr>
            <w:tcW w:w="2497"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20"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55" w:hRule="atLeast"/>
        </w:trPr>
        <w:tc>
          <w:tcPr>
            <w:tcW w:w="766"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3480"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2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66"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8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76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497"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20" w:type="dxa"/>
            <w:gridSpan w:val="3"/>
            <w:tcBorders>
              <w:top w:val="nil"/>
              <w:left w:val="nil"/>
              <w:bottom w:val="nil"/>
              <w:right w:val="nil"/>
            </w:tcBorders>
            <w:vAlign w:val="bottom"/>
          </w:tcPr>
          <w:p>
            <w:pPr>
              <w:widowControl/>
              <w:jc w:val="right"/>
              <w:rPr>
                <w:rFonts w:ascii="宋体" w:cs="Arial"/>
                <w:color w:val="000000"/>
                <w:kern w:val="0"/>
                <w:sz w:val="18"/>
                <w:szCs w:val="18"/>
              </w:rPr>
            </w:pPr>
            <w:r>
              <w:rPr>
                <w:rFonts w:hint="eastAsia" w:ascii="宋体" w:hAnsi="宋体" w:cs="Arial"/>
                <w:color w:val="000000"/>
                <w:kern w:val="0"/>
                <w:sz w:val="18"/>
                <w:szCs w:val="18"/>
              </w:rPr>
              <w:t>公开</w:t>
            </w:r>
            <w:r>
              <w:rPr>
                <w:rFonts w:ascii="宋体" w:hAnsi="宋体" w:cs="Arial"/>
                <w:color w:val="000000"/>
                <w:kern w:val="0"/>
                <w:sz w:val="18"/>
                <w:szCs w:val="18"/>
              </w:rPr>
              <w:t>06</w:t>
            </w:r>
            <w:r>
              <w:rPr>
                <w:rFonts w:hint="eastAsia" w:ascii="宋体" w:hAnsi="宋体" w:cs="Arial"/>
                <w:color w:val="000000"/>
                <w:kern w:val="0"/>
                <w:sz w:val="18"/>
                <w:szCs w:val="18"/>
              </w:rPr>
              <w:t>表</w:t>
            </w:r>
          </w:p>
        </w:tc>
      </w:tr>
      <w:tr>
        <w:tblPrEx>
          <w:tblLayout w:type="fixed"/>
          <w:tblCellMar>
            <w:top w:w="0" w:type="dxa"/>
            <w:left w:w="108" w:type="dxa"/>
            <w:bottom w:w="0" w:type="dxa"/>
            <w:right w:w="108" w:type="dxa"/>
          </w:tblCellMar>
        </w:tblPrEx>
        <w:trPr>
          <w:trHeight w:val="255" w:hRule="atLeast"/>
        </w:trPr>
        <w:tc>
          <w:tcPr>
            <w:tcW w:w="4246" w:type="dxa"/>
            <w:gridSpan w:val="5"/>
            <w:tcBorders>
              <w:top w:val="nil"/>
              <w:left w:val="nil"/>
              <w:bottom w:val="nil"/>
              <w:right w:val="nil"/>
            </w:tcBorders>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部门：洞口县统计局</w:t>
            </w:r>
          </w:p>
        </w:tc>
        <w:tc>
          <w:tcPr>
            <w:tcW w:w="12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66"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8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76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117" w:type="dxa"/>
            <w:gridSpan w:val="5"/>
            <w:tcBorders>
              <w:top w:val="nil"/>
              <w:left w:val="nil"/>
              <w:bottom w:val="single" w:color="000000" w:sz="4" w:space="0"/>
              <w:right w:val="nil"/>
            </w:tcBorders>
            <w:vAlign w:val="bottom"/>
          </w:tcPr>
          <w:p>
            <w:pPr>
              <w:widowControl/>
              <w:jc w:val="right"/>
              <w:rPr>
                <w:rFonts w:ascii="宋体" w:cs="Arial"/>
                <w:color w:val="000000"/>
                <w:kern w:val="0"/>
                <w:sz w:val="18"/>
                <w:szCs w:val="18"/>
              </w:rPr>
            </w:pPr>
            <w:r>
              <w:rPr>
                <w:rFonts w:hint="eastAsia" w:ascii="宋体" w:hAnsi="宋体" w:cs="Arial"/>
                <w:color w:val="000000"/>
                <w:kern w:val="0"/>
                <w:sz w:val="18"/>
                <w:szCs w:val="18"/>
              </w:rPr>
              <w:t>金额单位：万元</w:t>
            </w:r>
          </w:p>
        </w:tc>
      </w:tr>
      <w:tr>
        <w:tblPrEx>
          <w:tblLayout w:type="fixed"/>
          <w:tblCellMar>
            <w:top w:w="0" w:type="dxa"/>
            <w:left w:w="108" w:type="dxa"/>
            <w:bottom w:w="0" w:type="dxa"/>
            <w:right w:w="108" w:type="dxa"/>
          </w:tblCellMar>
        </w:tblPrEx>
        <w:trPr>
          <w:trHeight w:val="308" w:hRule="atLeast"/>
        </w:trPr>
        <w:tc>
          <w:tcPr>
            <w:tcW w:w="5446"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人员经费</w:t>
            </w:r>
          </w:p>
        </w:tc>
        <w:tc>
          <w:tcPr>
            <w:tcW w:w="9329" w:type="dxa"/>
            <w:gridSpan w:val="11"/>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公用经费</w:t>
            </w:r>
          </w:p>
        </w:tc>
      </w:tr>
      <w:tr>
        <w:tblPrEx>
          <w:tblLayout w:type="fixed"/>
          <w:tblCellMar>
            <w:top w:w="0" w:type="dxa"/>
            <w:left w:w="108" w:type="dxa"/>
            <w:bottom w:w="0" w:type="dxa"/>
            <w:right w:w="108" w:type="dxa"/>
          </w:tblCellMar>
        </w:tblPrEx>
        <w:trPr>
          <w:trHeight w:val="312" w:hRule="atLeast"/>
        </w:trPr>
        <w:tc>
          <w:tcPr>
            <w:tcW w:w="766" w:type="dxa"/>
            <w:gridSpan w:val="2"/>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科目编码</w:t>
            </w:r>
          </w:p>
        </w:tc>
        <w:tc>
          <w:tcPr>
            <w:tcW w:w="3480" w:type="dxa"/>
            <w:gridSpan w:val="3"/>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120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决算数</w:t>
            </w:r>
          </w:p>
        </w:tc>
        <w:tc>
          <w:tcPr>
            <w:tcW w:w="766"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科目编码</w:t>
            </w:r>
          </w:p>
        </w:tc>
        <w:tc>
          <w:tcPr>
            <w:tcW w:w="240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1280"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决算数</w:t>
            </w:r>
          </w:p>
        </w:tc>
        <w:tc>
          <w:tcPr>
            <w:tcW w:w="76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科目编码</w:t>
            </w:r>
          </w:p>
        </w:tc>
        <w:tc>
          <w:tcPr>
            <w:tcW w:w="2670" w:type="dxa"/>
            <w:gridSpan w:val="3"/>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1447"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决算数</w:t>
            </w:r>
          </w:p>
        </w:tc>
      </w:tr>
      <w:tr>
        <w:tblPrEx>
          <w:tblLayout w:type="fixed"/>
          <w:tblCellMar>
            <w:top w:w="0" w:type="dxa"/>
            <w:left w:w="108" w:type="dxa"/>
            <w:bottom w:w="0" w:type="dxa"/>
            <w:right w:w="108" w:type="dxa"/>
          </w:tblCellMar>
        </w:tblPrEx>
        <w:trPr>
          <w:trHeight w:val="312" w:hRule="atLeast"/>
        </w:trPr>
        <w:tc>
          <w:tcPr>
            <w:tcW w:w="76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3480" w:type="dxa"/>
            <w:gridSpan w:val="3"/>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20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766"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40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280"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766"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670" w:type="dxa"/>
            <w:gridSpan w:val="3"/>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47"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301</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工资福利支出</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280.23</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商品和服务支出</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382.11</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307</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债务利息及费用支出</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30101</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基本工资</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89.02</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30201</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办公费</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22.89</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30701</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国内债务付息</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30102</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津贴补贴</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30.32</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30202</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印刷费</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9.00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30702</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国外债务付息</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30103</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奖金</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95.1</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30203</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咨询费</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310</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资本性支出</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30106</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伙食补助费</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30204</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手续费</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31001</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房屋建筑物购建</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30107</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绩效工资</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15.32</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30205</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水费</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0.30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31002</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办公设备购置</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30108</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机关事业单位基本养老保险缴费</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21.34</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30206</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电费</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0.91</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31003</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专用设备购置</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30109</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职业年金缴费</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30207</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邮电费</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4.59</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31005</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基础设施建设</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30110</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职工基本医疗保险缴费</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10.30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30208</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取暖费</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31006</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大型修缮</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30111</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公务员医疗补助缴费</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30209</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物业管理费</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31007</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信息网络及软件购置更新</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30112</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其他社会保障缴费</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3.14</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30211</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差旅费</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38.61</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31008</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物资储备</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30113</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住房公积金</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15.57</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30212</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因公出国（境）费用</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31009</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土地补偿</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30114</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医疗费</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30213</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维修（护）费</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31010</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安置补助</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30199</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其他工资福利支出</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0.12</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30214</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租赁费</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31011</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地上附着物和青苗补偿</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303</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对个人和家庭的补助</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15.49</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30215</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会议费</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3.5</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31012</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拆迁补偿</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30301</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离休费</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30216</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培训费</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0.06</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31013</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公务用车购置</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30302</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退休费</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30217</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公务接待费</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0.59</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31019</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其他交通工具购置</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30303</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退职（役）费</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30218</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专用材料费</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31021</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文物和陈列品购置</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30304</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抚恤金</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14.42</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30224</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被装购置费</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31022</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无形资产购置</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30305</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生活补助</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1.02</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30225</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专用燃料费</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31099</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其他资本性支出</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30306</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救济费</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30226</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劳务费</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399</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其他支出</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30307</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医疗费补助</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30227</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委托业务费</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150.72</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39906</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赠与</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30308</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助学金</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30228</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工会经费</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39907</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国家赔偿费用支出</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585"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30309</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奖励金</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30229</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福利费</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39908</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对民间非营利组织和群众性自治组织补贴</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30310</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个人农业生产补贴</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30231</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公务用车运行维护费</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39999</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其他支出</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30399</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其他对个人和家庭的补助</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0.05</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30239</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其他交通费用</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10.90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30240</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税金及附加费用</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348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30299</w:t>
            </w:r>
          </w:p>
        </w:tc>
        <w:tc>
          <w:tcPr>
            <w:tcW w:w="2400"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其他商品和服务支出</w:t>
            </w:r>
          </w:p>
        </w:tc>
        <w:tc>
          <w:tcPr>
            <w:tcW w:w="1280"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140.04</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267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41" w:hRule="atLeast"/>
        </w:trPr>
        <w:tc>
          <w:tcPr>
            <w:tcW w:w="4246" w:type="dxa"/>
            <w:gridSpan w:val="5"/>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人员经费合计</w:t>
            </w:r>
          </w:p>
        </w:tc>
        <w:tc>
          <w:tcPr>
            <w:tcW w:w="12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295.72</w:t>
            </w:r>
          </w:p>
        </w:tc>
        <w:tc>
          <w:tcPr>
            <w:tcW w:w="7882" w:type="dxa"/>
            <w:gridSpan w:val="9"/>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公用经费合计</w:t>
            </w:r>
          </w:p>
        </w:tc>
        <w:tc>
          <w:tcPr>
            <w:tcW w:w="1447"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382.11</w:t>
            </w:r>
          </w:p>
        </w:tc>
      </w:tr>
    </w:tbl>
    <w:p>
      <w:pPr>
        <w:rPr>
          <w:sz w:val="30"/>
          <w:szCs w:val="30"/>
        </w:rPr>
      </w:pPr>
    </w:p>
    <w:p>
      <w:pPr>
        <w:rPr>
          <w:sz w:val="30"/>
          <w:szCs w:val="30"/>
        </w:rPr>
      </w:pPr>
    </w:p>
    <w:p>
      <w:pPr>
        <w:rPr>
          <w:sz w:val="30"/>
          <w:szCs w:val="30"/>
        </w:rPr>
      </w:pPr>
    </w:p>
    <w:p>
      <w:pPr>
        <w:rPr>
          <w:sz w:val="30"/>
          <w:szCs w:val="30"/>
        </w:rPr>
      </w:pPr>
    </w:p>
    <w:p>
      <w:pPr>
        <w:rPr>
          <w:sz w:val="30"/>
          <w:szCs w:val="30"/>
        </w:rPr>
      </w:pPr>
    </w:p>
    <w:tbl>
      <w:tblPr>
        <w:tblStyle w:val="8"/>
        <w:tblW w:w="13903" w:type="dxa"/>
        <w:tblInd w:w="93" w:type="dxa"/>
        <w:tblLayout w:type="fixed"/>
        <w:tblCellMar>
          <w:top w:w="0" w:type="dxa"/>
          <w:left w:w="108" w:type="dxa"/>
          <w:bottom w:w="0" w:type="dxa"/>
          <w:right w:w="108" w:type="dxa"/>
        </w:tblCellMar>
      </w:tblPr>
      <w:tblGrid>
        <w:gridCol w:w="1223"/>
        <w:gridCol w:w="1268"/>
        <w:gridCol w:w="1064"/>
        <w:gridCol w:w="1110"/>
        <w:gridCol w:w="1155"/>
        <w:gridCol w:w="996"/>
        <w:gridCol w:w="1245"/>
        <w:gridCol w:w="1381"/>
        <w:gridCol w:w="1064"/>
        <w:gridCol w:w="1133"/>
        <w:gridCol w:w="976"/>
        <w:gridCol w:w="1288"/>
      </w:tblGrid>
      <w:tr>
        <w:tblPrEx>
          <w:tblLayout w:type="fixed"/>
          <w:tblCellMar>
            <w:top w:w="0" w:type="dxa"/>
            <w:left w:w="108" w:type="dxa"/>
            <w:bottom w:w="0" w:type="dxa"/>
            <w:right w:w="108" w:type="dxa"/>
          </w:tblCellMar>
        </w:tblPrEx>
        <w:trPr>
          <w:trHeight w:val="618" w:hRule="atLeast"/>
        </w:trPr>
        <w:tc>
          <w:tcPr>
            <w:tcW w:w="122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16" w:type="dxa"/>
            <w:gridSpan w:val="9"/>
            <w:tcBorders>
              <w:top w:val="nil"/>
              <w:left w:val="nil"/>
              <w:bottom w:val="nil"/>
              <w:right w:val="nil"/>
            </w:tcBorders>
            <w:vAlign w:val="bottom"/>
          </w:tcPr>
          <w:p>
            <w:pPr>
              <w:widowControl/>
              <w:jc w:val="center"/>
              <w:rPr>
                <w:rFonts w:ascii="宋体" w:cs="Arial"/>
                <w:color w:val="000000"/>
                <w:kern w:val="0"/>
                <w:sz w:val="44"/>
                <w:szCs w:val="44"/>
              </w:rPr>
            </w:pPr>
            <w:r>
              <w:rPr>
                <w:rFonts w:hint="eastAsia" w:ascii="宋体" w:hAnsi="宋体" w:cs="Arial"/>
                <w:color w:val="000000"/>
                <w:kern w:val="0"/>
                <w:sz w:val="44"/>
                <w:szCs w:val="44"/>
              </w:rPr>
              <w:t>一般公共预算财政拨款“三公”经费支出决算表</w:t>
            </w:r>
          </w:p>
        </w:tc>
        <w:tc>
          <w:tcPr>
            <w:tcW w:w="97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88"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92" w:hRule="atLeast"/>
        </w:trPr>
        <w:tc>
          <w:tcPr>
            <w:tcW w:w="122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6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6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1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5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9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6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3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7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88" w:type="dxa"/>
            <w:tcBorders>
              <w:top w:val="nil"/>
              <w:left w:val="nil"/>
              <w:bottom w:val="nil"/>
              <w:right w:val="nil"/>
            </w:tcBorders>
            <w:vAlign w:val="bottom"/>
          </w:tcPr>
          <w:p>
            <w:pPr>
              <w:widowControl/>
              <w:ind w:right="200"/>
              <w:jc w:val="right"/>
              <w:rPr>
                <w:rFonts w:ascii="宋体" w:cs="Arial"/>
                <w:color w:val="000000"/>
                <w:kern w:val="0"/>
                <w:sz w:val="20"/>
                <w:szCs w:val="20"/>
              </w:rPr>
            </w:pPr>
            <w:r>
              <w:rPr>
                <w:rFonts w:hint="eastAsia" w:ascii="宋体" w:hAnsi="宋体" w:cs="Arial"/>
                <w:color w:val="000000"/>
                <w:kern w:val="0"/>
                <w:sz w:val="20"/>
                <w:szCs w:val="20"/>
              </w:rPr>
              <w:t>公开</w:t>
            </w:r>
            <w:r>
              <w:rPr>
                <w:rFonts w:ascii="宋体" w:hAnsi="宋体" w:cs="Arial"/>
                <w:color w:val="000000"/>
                <w:kern w:val="0"/>
                <w:sz w:val="20"/>
                <w:szCs w:val="20"/>
              </w:rPr>
              <w:t>07</w:t>
            </w:r>
            <w:r>
              <w:rPr>
                <w:rFonts w:hint="eastAsia" w:ascii="宋体" w:hAnsi="宋体" w:cs="Arial"/>
                <w:color w:val="000000"/>
                <w:kern w:val="0"/>
                <w:sz w:val="20"/>
                <w:szCs w:val="20"/>
              </w:rPr>
              <w:t>表</w:t>
            </w:r>
          </w:p>
        </w:tc>
      </w:tr>
      <w:tr>
        <w:tblPrEx>
          <w:tblLayout w:type="fixed"/>
          <w:tblCellMar>
            <w:top w:w="0" w:type="dxa"/>
            <w:left w:w="108" w:type="dxa"/>
            <w:bottom w:w="0" w:type="dxa"/>
            <w:right w:w="108" w:type="dxa"/>
          </w:tblCellMar>
        </w:tblPrEx>
        <w:trPr>
          <w:trHeight w:val="292" w:hRule="atLeast"/>
        </w:trPr>
        <w:tc>
          <w:tcPr>
            <w:tcW w:w="2491" w:type="dxa"/>
            <w:gridSpan w:val="2"/>
            <w:tcBorders>
              <w:top w:val="nil"/>
              <w:left w:val="nil"/>
              <w:bottom w:val="nil"/>
              <w:right w:val="nil"/>
            </w:tcBorders>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部门：洞口县统计局</w:t>
            </w:r>
          </w:p>
        </w:tc>
        <w:tc>
          <w:tcPr>
            <w:tcW w:w="106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1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5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9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6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3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264" w:type="dxa"/>
            <w:gridSpan w:val="2"/>
            <w:tcBorders>
              <w:top w:val="nil"/>
              <w:left w:val="nil"/>
              <w:bottom w:val="single" w:color="000000" w:sz="4" w:space="0"/>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53" w:hRule="atLeast"/>
        </w:trPr>
        <w:tc>
          <w:tcPr>
            <w:tcW w:w="6816"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预算数</w:t>
            </w:r>
          </w:p>
        </w:tc>
        <w:tc>
          <w:tcPr>
            <w:tcW w:w="7087" w:type="dxa"/>
            <w:gridSpan w:val="6"/>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决算数</w:t>
            </w:r>
          </w:p>
        </w:tc>
      </w:tr>
      <w:tr>
        <w:tblPrEx>
          <w:tblLayout w:type="fixed"/>
          <w:tblCellMar>
            <w:top w:w="0" w:type="dxa"/>
            <w:left w:w="108" w:type="dxa"/>
            <w:bottom w:w="0" w:type="dxa"/>
            <w:right w:w="108" w:type="dxa"/>
          </w:tblCellMar>
        </w:tblPrEx>
        <w:trPr>
          <w:trHeight w:val="353" w:hRule="atLeast"/>
        </w:trPr>
        <w:tc>
          <w:tcPr>
            <w:tcW w:w="1223"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合计</w:t>
            </w:r>
          </w:p>
        </w:tc>
        <w:tc>
          <w:tcPr>
            <w:tcW w:w="126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因公出国（境）费</w:t>
            </w:r>
          </w:p>
        </w:tc>
        <w:tc>
          <w:tcPr>
            <w:tcW w:w="3329"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公务用车购置及运行费</w:t>
            </w:r>
          </w:p>
        </w:tc>
        <w:tc>
          <w:tcPr>
            <w:tcW w:w="99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公务接待费</w:t>
            </w:r>
          </w:p>
        </w:tc>
        <w:tc>
          <w:tcPr>
            <w:tcW w:w="1245"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合计</w:t>
            </w:r>
          </w:p>
        </w:tc>
        <w:tc>
          <w:tcPr>
            <w:tcW w:w="138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因公出国（境）费</w:t>
            </w:r>
          </w:p>
        </w:tc>
        <w:tc>
          <w:tcPr>
            <w:tcW w:w="3173"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公务用车购置及运行费</w:t>
            </w:r>
          </w:p>
        </w:tc>
        <w:tc>
          <w:tcPr>
            <w:tcW w:w="128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公务接待费</w:t>
            </w:r>
          </w:p>
        </w:tc>
      </w:tr>
      <w:tr>
        <w:tblPrEx>
          <w:tblLayout w:type="fixed"/>
          <w:tblCellMar>
            <w:top w:w="0" w:type="dxa"/>
            <w:left w:w="108" w:type="dxa"/>
            <w:bottom w:w="0" w:type="dxa"/>
            <w:right w:w="108" w:type="dxa"/>
          </w:tblCellMar>
        </w:tblPrEx>
        <w:trPr>
          <w:trHeight w:val="704" w:hRule="atLeast"/>
        </w:trPr>
        <w:tc>
          <w:tcPr>
            <w:tcW w:w="122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268"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064"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小计</w:t>
            </w:r>
          </w:p>
        </w:tc>
        <w:tc>
          <w:tcPr>
            <w:tcW w:w="111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公务用车购置费</w:t>
            </w:r>
          </w:p>
        </w:tc>
        <w:tc>
          <w:tcPr>
            <w:tcW w:w="115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公务用车运行费</w:t>
            </w:r>
          </w:p>
        </w:tc>
        <w:tc>
          <w:tcPr>
            <w:tcW w:w="996"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245"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381"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064"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小计</w:t>
            </w:r>
          </w:p>
        </w:tc>
        <w:tc>
          <w:tcPr>
            <w:tcW w:w="113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公务用车购置费</w:t>
            </w:r>
          </w:p>
        </w:tc>
        <w:tc>
          <w:tcPr>
            <w:tcW w:w="97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公务用车运行费</w:t>
            </w:r>
          </w:p>
        </w:tc>
        <w:tc>
          <w:tcPr>
            <w:tcW w:w="1288"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53" w:hRule="atLeast"/>
        </w:trPr>
        <w:tc>
          <w:tcPr>
            <w:tcW w:w="1223"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26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064"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11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15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99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6</w:t>
            </w:r>
          </w:p>
        </w:tc>
        <w:tc>
          <w:tcPr>
            <w:tcW w:w="124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7</w:t>
            </w:r>
          </w:p>
        </w:tc>
        <w:tc>
          <w:tcPr>
            <w:tcW w:w="138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8</w:t>
            </w:r>
          </w:p>
        </w:tc>
        <w:tc>
          <w:tcPr>
            <w:tcW w:w="1064"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9</w:t>
            </w:r>
          </w:p>
        </w:tc>
        <w:tc>
          <w:tcPr>
            <w:tcW w:w="113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10</w:t>
            </w:r>
          </w:p>
        </w:tc>
        <w:tc>
          <w:tcPr>
            <w:tcW w:w="97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11</w:t>
            </w:r>
          </w:p>
        </w:tc>
        <w:tc>
          <w:tcPr>
            <w:tcW w:w="128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353" w:hRule="atLeast"/>
        </w:trPr>
        <w:tc>
          <w:tcPr>
            <w:tcW w:w="1223" w:type="dxa"/>
            <w:tcBorders>
              <w:top w:val="nil"/>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1.00</w:t>
            </w:r>
          </w:p>
        </w:tc>
        <w:tc>
          <w:tcPr>
            <w:tcW w:w="126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06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11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15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99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1.00</w:t>
            </w:r>
          </w:p>
        </w:tc>
        <w:tc>
          <w:tcPr>
            <w:tcW w:w="124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0.59</w:t>
            </w:r>
          </w:p>
        </w:tc>
        <w:tc>
          <w:tcPr>
            <w:tcW w:w="138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06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13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97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cs="Arial"/>
                <w:color w:val="000000"/>
                <w:kern w:val="0"/>
                <w:sz w:val="22"/>
                <w:szCs w:val="22"/>
              </w:rPr>
              <w:t>0.00</w:t>
            </w:r>
          </w:p>
        </w:tc>
        <w:tc>
          <w:tcPr>
            <w:tcW w:w="128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0.59</w:t>
            </w:r>
          </w:p>
        </w:tc>
      </w:tr>
      <w:tr>
        <w:tblPrEx>
          <w:tblLayout w:type="fixed"/>
          <w:tblCellMar>
            <w:top w:w="0" w:type="dxa"/>
            <w:left w:w="108" w:type="dxa"/>
            <w:bottom w:w="0" w:type="dxa"/>
            <w:right w:w="108" w:type="dxa"/>
          </w:tblCellMar>
        </w:tblPrEx>
        <w:trPr>
          <w:trHeight w:val="704" w:hRule="atLeast"/>
        </w:trPr>
        <w:tc>
          <w:tcPr>
            <w:tcW w:w="13903" w:type="dxa"/>
            <w:gridSpan w:val="12"/>
            <w:tcBorders>
              <w:top w:val="nil"/>
              <w:left w:val="nil"/>
              <w:bottom w:val="nil"/>
              <w:right w:val="nil"/>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tbl>
      <w:tblPr>
        <w:tblStyle w:val="8"/>
        <w:tblW w:w="13900" w:type="dxa"/>
        <w:tblInd w:w="93" w:type="dxa"/>
        <w:tblLayout w:type="fixed"/>
        <w:tblCellMar>
          <w:top w:w="0" w:type="dxa"/>
          <w:left w:w="108" w:type="dxa"/>
          <w:bottom w:w="0" w:type="dxa"/>
          <w:right w:w="108" w:type="dxa"/>
        </w:tblCellMar>
      </w:tblPr>
      <w:tblGrid>
        <w:gridCol w:w="420"/>
        <w:gridCol w:w="420"/>
        <w:gridCol w:w="421"/>
        <w:gridCol w:w="2225"/>
        <w:gridCol w:w="1734"/>
        <w:gridCol w:w="1830"/>
        <w:gridCol w:w="1807"/>
        <w:gridCol w:w="1976"/>
        <w:gridCol w:w="1608"/>
        <w:gridCol w:w="1459"/>
      </w:tblGrid>
      <w:tr>
        <w:tblPrEx>
          <w:tblLayout w:type="fixed"/>
          <w:tblCellMar>
            <w:top w:w="0" w:type="dxa"/>
            <w:left w:w="108" w:type="dxa"/>
            <w:bottom w:w="0" w:type="dxa"/>
            <w:right w:w="108" w:type="dxa"/>
          </w:tblCellMar>
        </w:tblPrEx>
        <w:trPr>
          <w:trHeight w:val="483" w:hRule="atLeast"/>
        </w:trPr>
        <w:tc>
          <w:tcPr>
            <w:tcW w:w="4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572" w:type="dxa"/>
            <w:gridSpan w:val="5"/>
            <w:tcBorders>
              <w:top w:val="nil"/>
              <w:left w:val="nil"/>
              <w:bottom w:val="nil"/>
              <w:right w:val="nil"/>
            </w:tcBorders>
            <w:vAlign w:val="bottom"/>
          </w:tcPr>
          <w:p>
            <w:pPr>
              <w:widowControl/>
              <w:jc w:val="center"/>
              <w:rPr>
                <w:rFonts w:ascii="宋体" w:cs="Arial"/>
                <w:color w:val="000000"/>
                <w:kern w:val="0"/>
                <w:sz w:val="30"/>
                <w:szCs w:val="30"/>
              </w:rPr>
            </w:pPr>
            <w:r>
              <w:rPr>
                <w:rFonts w:hint="eastAsia" w:ascii="宋体" w:hAnsi="宋体" w:cs="Arial"/>
                <w:color w:val="000000"/>
                <w:kern w:val="0"/>
                <w:sz w:val="30"/>
                <w:szCs w:val="30"/>
              </w:rPr>
              <w:t>政府性基金预算财政拨款收入支出决算表</w:t>
            </w:r>
          </w:p>
        </w:tc>
        <w:tc>
          <w:tcPr>
            <w:tcW w:w="160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59"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316" w:hRule="atLeast"/>
        </w:trPr>
        <w:tc>
          <w:tcPr>
            <w:tcW w:w="4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22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3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83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80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7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59" w:type="dxa"/>
            <w:tcBorders>
              <w:top w:val="nil"/>
              <w:left w:val="nil"/>
              <w:bottom w:val="nil"/>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公开</w:t>
            </w:r>
            <w:r>
              <w:rPr>
                <w:rFonts w:ascii="宋体" w:hAnsi="宋体" w:cs="Arial"/>
                <w:color w:val="000000"/>
                <w:kern w:val="0"/>
                <w:sz w:val="20"/>
                <w:szCs w:val="20"/>
              </w:rPr>
              <w:t>08</w:t>
            </w:r>
            <w:r>
              <w:rPr>
                <w:rFonts w:hint="eastAsia" w:ascii="宋体" w:hAnsi="宋体" w:cs="Arial"/>
                <w:color w:val="000000"/>
                <w:kern w:val="0"/>
                <w:sz w:val="20"/>
                <w:szCs w:val="20"/>
              </w:rPr>
              <w:t>表</w:t>
            </w:r>
          </w:p>
        </w:tc>
      </w:tr>
      <w:tr>
        <w:tblPrEx>
          <w:tblLayout w:type="fixed"/>
          <w:tblCellMar>
            <w:top w:w="0" w:type="dxa"/>
            <w:left w:w="108" w:type="dxa"/>
            <w:bottom w:w="0" w:type="dxa"/>
            <w:right w:w="108" w:type="dxa"/>
          </w:tblCellMar>
        </w:tblPrEx>
        <w:trPr>
          <w:trHeight w:val="316" w:hRule="atLeast"/>
        </w:trPr>
        <w:tc>
          <w:tcPr>
            <w:tcW w:w="3486" w:type="dxa"/>
            <w:gridSpan w:val="4"/>
            <w:tcBorders>
              <w:top w:val="nil"/>
              <w:left w:val="nil"/>
              <w:bottom w:val="nil"/>
              <w:right w:val="nil"/>
            </w:tcBorders>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部门：洞口县统计局</w:t>
            </w:r>
          </w:p>
        </w:tc>
        <w:tc>
          <w:tcPr>
            <w:tcW w:w="173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83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80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7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067" w:type="dxa"/>
            <w:gridSpan w:val="2"/>
            <w:tcBorders>
              <w:top w:val="nil"/>
              <w:left w:val="nil"/>
              <w:bottom w:val="single" w:color="000000" w:sz="4" w:space="0"/>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81" w:hRule="atLeast"/>
        </w:trPr>
        <w:tc>
          <w:tcPr>
            <w:tcW w:w="3486"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w:t>
            </w:r>
          </w:p>
        </w:tc>
        <w:tc>
          <w:tcPr>
            <w:tcW w:w="1734"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年初结转和结余</w:t>
            </w:r>
          </w:p>
        </w:tc>
        <w:tc>
          <w:tcPr>
            <w:tcW w:w="183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本年收入</w:t>
            </w:r>
          </w:p>
        </w:tc>
        <w:tc>
          <w:tcPr>
            <w:tcW w:w="5391"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本年支出</w:t>
            </w:r>
          </w:p>
        </w:tc>
        <w:tc>
          <w:tcPr>
            <w:tcW w:w="1459"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年末结转和结余</w:t>
            </w:r>
          </w:p>
        </w:tc>
      </w:tr>
      <w:tr>
        <w:tblPrEx>
          <w:tblLayout w:type="fixed"/>
          <w:tblCellMar>
            <w:top w:w="0" w:type="dxa"/>
            <w:left w:w="108" w:type="dxa"/>
            <w:bottom w:w="0" w:type="dxa"/>
            <w:right w:w="108" w:type="dxa"/>
          </w:tblCellMar>
        </w:tblPrEx>
        <w:trPr>
          <w:trHeight w:val="386" w:hRule="atLeast"/>
        </w:trPr>
        <w:tc>
          <w:tcPr>
            <w:tcW w:w="1261"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功能分类科目编码</w:t>
            </w:r>
          </w:p>
        </w:tc>
        <w:tc>
          <w:tcPr>
            <w:tcW w:w="2225"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173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8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807"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小计</w:t>
            </w:r>
          </w:p>
        </w:tc>
        <w:tc>
          <w:tcPr>
            <w:tcW w:w="197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基本支出</w:t>
            </w:r>
          </w:p>
        </w:tc>
        <w:tc>
          <w:tcPr>
            <w:tcW w:w="160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项目支出</w:t>
            </w:r>
          </w:p>
        </w:tc>
        <w:tc>
          <w:tcPr>
            <w:tcW w:w="1459"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86" w:hRule="atLeast"/>
        </w:trPr>
        <w:tc>
          <w:tcPr>
            <w:tcW w:w="1261"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225"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73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8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807"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976"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608"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59"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86" w:hRule="atLeast"/>
        </w:trPr>
        <w:tc>
          <w:tcPr>
            <w:tcW w:w="1261"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225"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73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8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807"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976"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608"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59"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81" w:hRule="atLeast"/>
        </w:trPr>
        <w:tc>
          <w:tcPr>
            <w:tcW w:w="3486"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栏次</w:t>
            </w:r>
          </w:p>
        </w:tc>
        <w:tc>
          <w:tcPr>
            <w:tcW w:w="1734"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83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807"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97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60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1459"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6</w:t>
            </w:r>
          </w:p>
        </w:tc>
      </w:tr>
      <w:tr>
        <w:tblPrEx>
          <w:tblLayout w:type="fixed"/>
          <w:tblCellMar>
            <w:top w:w="0" w:type="dxa"/>
            <w:left w:w="108" w:type="dxa"/>
            <w:bottom w:w="0" w:type="dxa"/>
            <w:right w:w="108" w:type="dxa"/>
          </w:tblCellMar>
        </w:tblPrEx>
        <w:trPr>
          <w:trHeight w:val="381" w:hRule="atLeast"/>
        </w:trPr>
        <w:tc>
          <w:tcPr>
            <w:tcW w:w="3486"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合计</w:t>
            </w:r>
          </w:p>
        </w:tc>
        <w:tc>
          <w:tcPr>
            <w:tcW w:w="1734" w:type="dxa"/>
            <w:tcBorders>
              <w:top w:val="nil"/>
              <w:left w:val="nil"/>
              <w:bottom w:val="single" w:color="000000" w:sz="4" w:space="0"/>
              <w:right w:val="single" w:color="000000" w:sz="4" w:space="0"/>
            </w:tcBorders>
            <w:vAlign w:val="center"/>
          </w:tcPr>
          <w:p>
            <w:pPr>
              <w:widowControl/>
              <w:jc w:val="right"/>
              <w:rPr>
                <w:rFonts w:ascii="宋体" w:cs="Arial"/>
                <w:b/>
                <w:bCs/>
                <w:color w:val="000000"/>
                <w:kern w:val="0"/>
                <w:sz w:val="22"/>
                <w:szCs w:val="22"/>
              </w:rPr>
            </w:pPr>
            <w:r>
              <w:rPr>
                <w:rFonts w:hint="eastAsia" w:ascii="宋体" w:hAnsi="宋体" w:cs="Arial"/>
                <w:b/>
                <w:bCs/>
                <w:color w:val="000000"/>
                <w:kern w:val="0"/>
                <w:sz w:val="22"/>
                <w:szCs w:val="22"/>
              </w:rPr>
              <w:t>　</w:t>
            </w:r>
          </w:p>
        </w:tc>
        <w:tc>
          <w:tcPr>
            <w:tcW w:w="1830" w:type="dxa"/>
            <w:tcBorders>
              <w:top w:val="nil"/>
              <w:left w:val="nil"/>
              <w:bottom w:val="single" w:color="000000" w:sz="4" w:space="0"/>
              <w:right w:val="single" w:color="000000" w:sz="4" w:space="0"/>
            </w:tcBorders>
            <w:vAlign w:val="center"/>
          </w:tcPr>
          <w:p>
            <w:pPr>
              <w:widowControl/>
              <w:jc w:val="right"/>
              <w:rPr>
                <w:rFonts w:ascii="宋体" w:cs="Arial"/>
                <w:b/>
                <w:bCs/>
                <w:color w:val="000000"/>
                <w:kern w:val="0"/>
                <w:sz w:val="22"/>
                <w:szCs w:val="22"/>
              </w:rPr>
            </w:pPr>
            <w:r>
              <w:rPr>
                <w:rFonts w:hint="eastAsia" w:ascii="宋体" w:hAnsi="宋体" w:cs="Arial"/>
                <w:b/>
                <w:bCs/>
                <w:color w:val="000000"/>
                <w:kern w:val="0"/>
                <w:sz w:val="22"/>
                <w:szCs w:val="22"/>
              </w:rPr>
              <w:t>　</w:t>
            </w:r>
          </w:p>
        </w:tc>
        <w:tc>
          <w:tcPr>
            <w:tcW w:w="1807" w:type="dxa"/>
            <w:tcBorders>
              <w:top w:val="nil"/>
              <w:left w:val="nil"/>
              <w:bottom w:val="single" w:color="000000" w:sz="4" w:space="0"/>
              <w:right w:val="single" w:color="000000" w:sz="4" w:space="0"/>
            </w:tcBorders>
            <w:vAlign w:val="center"/>
          </w:tcPr>
          <w:p>
            <w:pPr>
              <w:widowControl/>
              <w:jc w:val="right"/>
              <w:rPr>
                <w:rFonts w:ascii="宋体" w:cs="Arial"/>
                <w:b/>
                <w:bCs/>
                <w:color w:val="000000"/>
                <w:kern w:val="0"/>
                <w:sz w:val="22"/>
                <w:szCs w:val="22"/>
              </w:rPr>
            </w:pPr>
            <w:r>
              <w:rPr>
                <w:rFonts w:hint="eastAsia" w:ascii="宋体" w:hAnsi="宋体" w:cs="Arial"/>
                <w:b/>
                <w:bCs/>
                <w:color w:val="000000"/>
                <w:kern w:val="0"/>
                <w:sz w:val="22"/>
                <w:szCs w:val="22"/>
              </w:rPr>
              <w:t>　</w:t>
            </w:r>
          </w:p>
        </w:tc>
        <w:tc>
          <w:tcPr>
            <w:tcW w:w="1976" w:type="dxa"/>
            <w:tcBorders>
              <w:top w:val="nil"/>
              <w:left w:val="nil"/>
              <w:bottom w:val="single" w:color="000000" w:sz="4" w:space="0"/>
              <w:right w:val="single" w:color="000000" w:sz="4" w:space="0"/>
            </w:tcBorders>
            <w:vAlign w:val="center"/>
          </w:tcPr>
          <w:p>
            <w:pPr>
              <w:widowControl/>
              <w:jc w:val="right"/>
              <w:rPr>
                <w:rFonts w:ascii="宋体" w:cs="Arial"/>
                <w:b/>
                <w:bCs/>
                <w:color w:val="000000"/>
                <w:kern w:val="0"/>
                <w:sz w:val="22"/>
                <w:szCs w:val="22"/>
              </w:rPr>
            </w:pPr>
            <w:r>
              <w:rPr>
                <w:rFonts w:hint="eastAsia" w:ascii="宋体" w:hAnsi="宋体" w:cs="Arial"/>
                <w:b/>
                <w:bCs/>
                <w:color w:val="000000"/>
                <w:kern w:val="0"/>
                <w:sz w:val="22"/>
                <w:szCs w:val="22"/>
              </w:rPr>
              <w:t>　</w:t>
            </w:r>
          </w:p>
        </w:tc>
        <w:tc>
          <w:tcPr>
            <w:tcW w:w="1608" w:type="dxa"/>
            <w:tcBorders>
              <w:top w:val="nil"/>
              <w:left w:val="nil"/>
              <w:bottom w:val="single" w:color="000000" w:sz="4" w:space="0"/>
              <w:right w:val="single" w:color="000000" w:sz="4" w:space="0"/>
            </w:tcBorders>
            <w:vAlign w:val="center"/>
          </w:tcPr>
          <w:p>
            <w:pPr>
              <w:widowControl/>
              <w:jc w:val="right"/>
              <w:rPr>
                <w:rFonts w:ascii="宋体" w:cs="Arial"/>
                <w:b/>
                <w:bCs/>
                <w:color w:val="000000"/>
                <w:kern w:val="0"/>
                <w:sz w:val="22"/>
                <w:szCs w:val="22"/>
              </w:rPr>
            </w:pPr>
            <w:r>
              <w:rPr>
                <w:rFonts w:hint="eastAsia" w:ascii="宋体" w:hAnsi="宋体" w:cs="Arial"/>
                <w:b/>
                <w:bCs/>
                <w:color w:val="000000"/>
                <w:kern w:val="0"/>
                <w:sz w:val="22"/>
                <w:szCs w:val="22"/>
              </w:rPr>
              <w:t>　</w:t>
            </w:r>
          </w:p>
        </w:tc>
        <w:tc>
          <w:tcPr>
            <w:tcW w:w="1459" w:type="dxa"/>
            <w:tcBorders>
              <w:top w:val="nil"/>
              <w:left w:val="nil"/>
              <w:bottom w:val="single" w:color="000000" w:sz="4" w:space="0"/>
              <w:right w:val="single" w:color="000000" w:sz="4" w:space="0"/>
            </w:tcBorders>
            <w:vAlign w:val="center"/>
          </w:tcPr>
          <w:p>
            <w:pPr>
              <w:widowControl/>
              <w:jc w:val="right"/>
              <w:rPr>
                <w:rFonts w:ascii="宋体" w:cs="Arial"/>
                <w:b/>
                <w:bCs/>
                <w:color w:val="000000"/>
                <w:kern w:val="0"/>
                <w:sz w:val="22"/>
                <w:szCs w:val="22"/>
              </w:rPr>
            </w:pPr>
            <w:r>
              <w:rPr>
                <w:rFonts w:hint="eastAsia" w:ascii="宋体" w:hAnsi="宋体" w:cs="Arial"/>
                <w:b/>
                <w:bCs/>
                <w:color w:val="000000"/>
                <w:kern w:val="0"/>
                <w:sz w:val="22"/>
                <w:szCs w:val="22"/>
              </w:rPr>
              <w:t>　</w:t>
            </w:r>
          </w:p>
        </w:tc>
      </w:tr>
      <w:tr>
        <w:tblPrEx>
          <w:tblLayout w:type="fixed"/>
          <w:tblCellMar>
            <w:top w:w="0" w:type="dxa"/>
            <w:left w:w="108" w:type="dxa"/>
            <w:bottom w:w="0" w:type="dxa"/>
            <w:right w:w="108" w:type="dxa"/>
          </w:tblCellMar>
        </w:tblPrEx>
        <w:trPr>
          <w:trHeight w:val="381" w:hRule="atLeast"/>
        </w:trPr>
        <w:tc>
          <w:tcPr>
            <w:tcW w:w="1261"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2225"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7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83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807"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97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45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81" w:hRule="atLeast"/>
        </w:trPr>
        <w:tc>
          <w:tcPr>
            <w:tcW w:w="1261"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2225"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7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83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807"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97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45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81" w:hRule="atLeast"/>
        </w:trPr>
        <w:tc>
          <w:tcPr>
            <w:tcW w:w="1261"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2225"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7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83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807"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97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45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81" w:hRule="atLeast"/>
        </w:trPr>
        <w:tc>
          <w:tcPr>
            <w:tcW w:w="1261"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2225"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7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83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807"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97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45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81" w:hRule="atLeast"/>
        </w:trPr>
        <w:tc>
          <w:tcPr>
            <w:tcW w:w="1261"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2225"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7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83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807"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97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45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81" w:hRule="atLeast"/>
        </w:trPr>
        <w:tc>
          <w:tcPr>
            <w:tcW w:w="1261"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2225"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7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83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807"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97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459"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81" w:hRule="atLeast"/>
        </w:trPr>
        <w:tc>
          <w:tcPr>
            <w:tcW w:w="13900" w:type="dxa"/>
            <w:gridSpan w:val="10"/>
            <w:tcBorders>
              <w:top w:val="nil"/>
              <w:left w:val="nil"/>
              <w:bottom w:val="nil"/>
              <w:right w:val="nil"/>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注：本表反映部门本年度政府性基金预算财政拨款收入、支出及结转和结余情况。</w:t>
            </w:r>
          </w:p>
        </w:tc>
      </w:tr>
    </w:tbl>
    <w:p>
      <w:pPr>
        <w:rPr>
          <w:sz w:val="30"/>
          <w:szCs w:val="30"/>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99D2F03"/>
    <w:rsid w:val="00004204"/>
    <w:rsid w:val="0001205F"/>
    <w:rsid w:val="0002264E"/>
    <w:rsid w:val="0005083C"/>
    <w:rsid w:val="00074F16"/>
    <w:rsid w:val="00090EDB"/>
    <w:rsid w:val="000D29F1"/>
    <w:rsid w:val="000D44F3"/>
    <w:rsid w:val="0012362B"/>
    <w:rsid w:val="001243AE"/>
    <w:rsid w:val="001326F6"/>
    <w:rsid w:val="00166F5B"/>
    <w:rsid w:val="00170BEA"/>
    <w:rsid w:val="00170DF6"/>
    <w:rsid w:val="001B1456"/>
    <w:rsid w:val="001B1E77"/>
    <w:rsid w:val="001B31A1"/>
    <w:rsid w:val="001D158F"/>
    <w:rsid w:val="001E4614"/>
    <w:rsid w:val="002015BD"/>
    <w:rsid w:val="00203EFC"/>
    <w:rsid w:val="00214ACA"/>
    <w:rsid w:val="00270225"/>
    <w:rsid w:val="002D4159"/>
    <w:rsid w:val="00313A76"/>
    <w:rsid w:val="00327789"/>
    <w:rsid w:val="00335E84"/>
    <w:rsid w:val="003424A0"/>
    <w:rsid w:val="00370BF7"/>
    <w:rsid w:val="003B3327"/>
    <w:rsid w:val="003B7EBF"/>
    <w:rsid w:val="003C01DB"/>
    <w:rsid w:val="003F354E"/>
    <w:rsid w:val="00457DEA"/>
    <w:rsid w:val="004933A6"/>
    <w:rsid w:val="004A1C8E"/>
    <w:rsid w:val="004A3D96"/>
    <w:rsid w:val="004A790B"/>
    <w:rsid w:val="004B28E9"/>
    <w:rsid w:val="004C1B54"/>
    <w:rsid w:val="004D0CCB"/>
    <w:rsid w:val="00513E5F"/>
    <w:rsid w:val="00520C3B"/>
    <w:rsid w:val="00521C27"/>
    <w:rsid w:val="00550743"/>
    <w:rsid w:val="0055352E"/>
    <w:rsid w:val="00553566"/>
    <w:rsid w:val="005920FB"/>
    <w:rsid w:val="005B4CE0"/>
    <w:rsid w:val="005B7F3C"/>
    <w:rsid w:val="005F3C67"/>
    <w:rsid w:val="00603D4D"/>
    <w:rsid w:val="006605D6"/>
    <w:rsid w:val="00676A48"/>
    <w:rsid w:val="006C12B0"/>
    <w:rsid w:val="006D5CF8"/>
    <w:rsid w:val="006E1514"/>
    <w:rsid w:val="006E2142"/>
    <w:rsid w:val="006E5129"/>
    <w:rsid w:val="006F5ED5"/>
    <w:rsid w:val="00751874"/>
    <w:rsid w:val="00753B3A"/>
    <w:rsid w:val="0077492C"/>
    <w:rsid w:val="00780C5F"/>
    <w:rsid w:val="00791057"/>
    <w:rsid w:val="00796091"/>
    <w:rsid w:val="007F317D"/>
    <w:rsid w:val="008144EA"/>
    <w:rsid w:val="008212BA"/>
    <w:rsid w:val="0082693B"/>
    <w:rsid w:val="00853753"/>
    <w:rsid w:val="00853FC8"/>
    <w:rsid w:val="00856E3D"/>
    <w:rsid w:val="00894029"/>
    <w:rsid w:val="008A10F9"/>
    <w:rsid w:val="008D1BFF"/>
    <w:rsid w:val="008D433D"/>
    <w:rsid w:val="00937BF9"/>
    <w:rsid w:val="009D70EA"/>
    <w:rsid w:val="009E191A"/>
    <w:rsid w:val="009E3C2C"/>
    <w:rsid w:val="009F61FD"/>
    <w:rsid w:val="00A05C78"/>
    <w:rsid w:val="00A21CB2"/>
    <w:rsid w:val="00A40A0E"/>
    <w:rsid w:val="00A47104"/>
    <w:rsid w:val="00A6210D"/>
    <w:rsid w:val="00A93E2A"/>
    <w:rsid w:val="00AC0809"/>
    <w:rsid w:val="00AD1E6B"/>
    <w:rsid w:val="00AD5F8A"/>
    <w:rsid w:val="00B0733B"/>
    <w:rsid w:val="00B07B24"/>
    <w:rsid w:val="00B37CD1"/>
    <w:rsid w:val="00B61A48"/>
    <w:rsid w:val="00B84DCE"/>
    <w:rsid w:val="00B96B83"/>
    <w:rsid w:val="00BA4D6F"/>
    <w:rsid w:val="00C24C2D"/>
    <w:rsid w:val="00C85639"/>
    <w:rsid w:val="00CB5AFF"/>
    <w:rsid w:val="00D3311D"/>
    <w:rsid w:val="00D53B13"/>
    <w:rsid w:val="00D634BF"/>
    <w:rsid w:val="00D77AEA"/>
    <w:rsid w:val="00D82983"/>
    <w:rsid w:val="00DA6766"/>
    <w:rsid w:val="00DB7E66"/>
    <w:rsid w:val="00DD145C"/>
    <w:rsid w:val="00E10CC7"/>
    <w:rsid w:val="00E11A86"/>
    <w:rsid w:val="00E4442F"/>
    <w:rsid w:val="00E62DC6"/>
    <w:rsid w:val="00EB2B3E"/>
    <w:rsid w:val="00EB4B26"/>
    <w:rsid w:val="00EC7CC3"/>
    <w:rsid w:val="00EE1B0B"/>
    <w:rsid w:val="00EE32A4"/>
    <w:rsid w:val="00F73E9B"/>
    <w:rsid w:val="00F975A6"/>
    <w:rsid w:val="00FD7D22"/>
    <w:rsid w:val="00FE6B06"/>
    <w:rsid w:val="07CA2ED7"/>
    <w:rsid w:val="088E0696"/>
    <w:rsid w:val="0B123C38"/>
    <w:rsid w:val="0B6401BF"/>
    <w:rsid w:val="16A222A1"/>
    <w:rsid w:val="199D2F03"/>
    <w:rsid w:val="23897C4B"/>
    <w:rsid w:val="2A4D5475"/>
    <w:rsid w:val="2F2D0876"/>
    <w:rsid w:val="330D2A50"/>
    <w:rsid w:val="3FBA2342"/>
    <w:rsid w:val="40184CA7"/>
    <w:rsid w:val="40197335"/>
    <w:rsid w:val="40E0036E"/>
    <w:rsid w:val="42D17A91"/>
    <w:rsid w:val="447659E0"/>
    <w:rsid w:val="46737A24"/>
    <w:rsid w:val="498C34BA"/>
    <w:rsid w:val="4B547222"/>
    <w:rsid w:val="512344AA"/>
    <w:rsid w:val="53720000"/>
    <w:rsid w:val="54C93027"/>
    <w:rsid w:val="58E212F2"/>
    <w:rsid w:val="6327632B"/>
    <w:rsid w:val="6463123F"/>
    <w:rsid w:val="66716911"/>
    <w:rsid w:val="6B3602F4"/>
    <w:rsid w:val="6E436BED"/>
    <w:rsid w:val="70C95397"/>
    <w:rsid w:val="77047750"/>
    <w:rsid w:val="779D2EBA"/>
    <w:rsid w:val="7D260B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iPriority w:val="99"/>
    <w:pPr>
      <w:tabs>
        <w:tab w:val="center" w:pos="4153"/>
        <w:tab w:val="right" w:pos="8306"/>
      </w:tabs>
      <w:snapToGrid w:val="0"/>
      <w:jc w:val="left"/>
    </w:pPr>
    <w:rPr>
      <w:sz w:val="18"/>
      <w:szCs w:val="18"/>
    </w:rPr>
  </w:style>
  <w:style w:type="paragraph" w:styleId="3">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6">
    <w:name w:val="Strong"/>
    <w:basedOn w:val="5"/>
    <w:qFormat/>
    <w:uiPriority w:val="99"/>
    <w:rPr>
      <w:rFonts w:cs="Times New Roman"/>
      <w:b/>
    </w:rPr>
  </w:style>
  <w:style w:type="character" w:styleId="7">
    <w:name w:val="Hyperlink"/>
    <w:basedOn w:val="5"/>
    <w:qFormat/>
    <w:uiPriority w:val="99"/>
    <w:rPr>
      <w:rFonts w:cs="Times New Roman"/>
      <w:color w:val="0000FF"/>
      <w:u w:val="single"/>
    </w:rPr>
  </w:style>
  <w:style w:type="table" w:styleId="9">
    <w:name w:val="Table Grid"/>
    <w:basedOn w:val="8"/>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Header Char"/>
    <w:basedOn w:val="5"/>
    <w:link w:val="3"/>
    <w:semiHidden/>
    <w:locked/>
    <w:uiPriority w:val="99"/>
    <w:rPr>
      <w:rFonts w:ascii="Calibri" w:hAnsi="Calibri" w:cs="Times New Roman"/>
      <w:sz w:val="18"/>
      <w:szCs w:val="18"/>
    </w:rPr>
  </w:style>
  <w:style w:type="character" w:customStyle="1" w:styleId="11">
    <w:name w:val="Footer Char"/>
    <w:basedOn w:val="5"/>
    <w:link w:val="2"/>
    <w:semiHidden/>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20</Pages>
  <Words>1681</Words>
  <Characters>9587</Characters>
  <Lines>0</Lines>
  <Paragraphs>0</Paragraphs>
  <TotalTime>0</TotalTime>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2019-09-25T07:49:00Z</dcterms:created>
  <dc:creator>Administrator</dc:creator>
  <cp:lastModifiedBy>Administrator</cp:lastModifiedBy>
  <cp:lastPrinted>2020-10-28T01:55:00Z</cp:lastPrinted>
  <dcterms:modified xsi:type="dcterms:W3CDTF">2021-06-06T09:42:43Z</dcterms:modified>
  <dc:title>洞口县政协2018年度部门决算公开说明</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