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方正小标宋_GBK"/>
          <w:bCs/>
          <w:kern w:val="0"/>
          <w:sz w:val="44"/>
          <w:szCs w:val="44"/>
        </w:rPr>
      </w:pPr>
      <w:r>
        <w:rPr>
          <w:rFonts w:hint="eastAsia" w:eastAsia="方正小标宋_GBK"/>
          <w:bCs/>
          <w:kern w:val="0"/>
          <w:sz w:val="36"/>
          <w:szCs w:val="36"/>
          <w:lang w:val="en-US" w:eastAsia="zh-CN"/>
        </w:rPr>
        <w:t>2019年洞口县文化馆部门决算</w:t>
      </w:r>
    </w:p>
    <w:p>
      <w:pPr>
        <w:widowControl/>
        <w:spacing w:line="600" w:lineRule="exact"/>
        <w:jc w:val="both"/>
        <w:rPr>
          <w:rFonts w:eastAsia="楷体_GB2312"/>
          <w:bCs/>
          <w:kern w:val="0"/>
          <w:sz w:val="32"/>
          <w:szCs w:val="32"/>
        </w:rPr>
      </w:pPr>
    </w:p>
    <w:p>
      <w:pPr>
        <w:widowControl/>
        <w:spacing w:line="600" w:lineRule="exact"/>
        <w:jc w:val="center"/>
        <w:rPr>
          <w:rFonts w:eastAsia="黑体"/>
          <w:bCs/>
          <w:kern w:val="0"/>
          <w:sz w:val="32"/>
          <w:szCs w:val="32"/>
        </w:rPr>
      </w:pPr>
      <w:r>
        <w:rPr>
          <w:rFonts w:eastAsia="黑体"/>
          <w:bCs/>
          <w:kern w:val="0"/>
          <w:sz w:val="32"/>
          <w:szCs w:val="32"/>
        </w:rPr>
        <w:t>目 录</w:t>
      </w:r>
    </w:p>
    <w:p>
      <w:pPr>
        <w:widowControl/>
        <w:spacing w:line="600" w:lineRule="exact"/>
        <w:ind w:firstLine="643" w:firstLineChars="200"/>
        <w:rPr>
          <w:rFonts w:eastAsia="仿宋_GB2312"/>
          <w:b/>
          <w:bCs/>
          <w:kern w:val="0"/>
          <w:sz w:val="32"/>
          <w:szCs w:val="32"/>
        </w:rPr>
      </w:pPr>
      <w:r>
        <w:rPr>
          <w:rFonts w:eastAsia="仿宋_GB2312"/>
          <w:b/>
          <w:bCs/>
          <w:kern w:val="0"/>
          <w:sz w:val="32"/>
          <w:szCs w:val="32"/>
        </w:rPr>
        <w:t xml:space="preserve">第一部分 </w:t>
      </w:r>
      <w:r>
        <w:rPr>
          <w:rFonts w:hint="eastAsia" w:eastAsia="仿宋_GB2312"/>
          <w:b/>
          <w:bCs/>
          <w:kern w:val="0"/>
          <w:sz w:val="32"/>
          <w:szCs w:val="32"/>
          <w:lang w:val="en-US" w:eastAsia="zh-CN"/>
        </w:rPr>
        <w:t>2019年文化馆</w:t>
      </w:r>
      <w:r>
        <w:rPr>
          <w:rFonts w:eastAsia="仿宋_GB2312"/>
          <w:b/>
          <w:bCs/>
          <w:kern w:val="0"/>
          <w:sz w:val="32"/>
          <w:szCs w:val="32"/>
        </w:rPr>
        <w:t>部门概况</w:t>
      </w:r>
    </w:p>
    <w:p>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1、部门职责</w:t>
      </w:r>
    </w:p>
    <w:p>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2、机构设置</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第二部分</w:t>
      </w:r>
      <w:r>
        <w:rPr>
          <w:rFonts w:hint="eastAsia" w:eastAsia="仿宋_GB2312"/>
          <w:b/>
          <w:bCs/>
          <w:kern w:val="0"/>
          <w:sz w:val="32"/>
          <w:szCs w:val="32"/>
        </w:rPr>
        <w:t xml:space="preserve"> </w:t>
      </w:r>
      <w:r>
        <w:rPr>
          <w:rFonts w:eastAsia="仿宋_GB2312"/>
          <w:b/>
          <w:bCs/>
          <w:kern w:val="0"/>
          <w:sz w:val="32"/>
          <w:szCs w:val="32"/>
        </w:rPr>
        <w:t>部门决算表</w:t>
      </w:r>
    </w:p>
    <w:p>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部门收支</w:t>
      </w:r>
      <w:r>
        <w:rPr>
          <w:rFonts w:ascii="Times New Roman" w:hAnsi="Times New Roman" w:eastAsia="仿宋_GB2312" w:cs="Times New Roman"/>
          <w:sz w:val="32"/>
          <w:szCs w:val="32"/>
        </w:rPr>
        <w:t>决算总表</w:t>
      </w:r>
    </w:p>
    <w:p>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收入决算表</w:t>
      </w:r>
    </w:p>
    <w:p>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支出决算表</w:t>
      </w:r>
    </w:p>
    <w:p>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4、财政拨款</w:t>
      </w:r>
      <w:r>
        <w:rPr>
          <w:rFonts w:hint="eastAsia" w:ascii="Times New Roman" w:hAnsi="Times New Roman" w:eastAsia="仿宋_GB2312" w:cs="Times New Roman"/>
          <w:sz w:val="32"/>
          <w:szCs w:val="32"/>
        </w:rPr>
        <w:t>收支</w:t>
      </w:r>
      <w:r>
        <w:rPr>
          <w:rFonts w:ascii="Times New Roman" w:hAnsi="Times New Roman" w:eastAsia="仿宋_GB2312" w:cs="Times New Roman"/>
          <w:sz w:val="32"/>
          <w:szCs w:val="32"/>
        </w:rPr>
        <w:t>决算总表</w:t>
      </w:r>
    </w:p>
    <w:p>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5、一般公共预算财政拨款支出决算表</w:t>
      </w:r>
    </w:p>
    <w:p>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6、一般公共预算财政拨款基本支出决算表</w:t>
      </w:r>
    </w:p>
    <w:p>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7、一般公共预算财政拨款“三公”经费支出决算表</w:t>
      </w:r>
    </w:p>
    <w:p>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8、政府性基金预算财政拨款收入支出决算表</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第三部分</w:t>
      </w:r>
      <w:r>
        <w:rPr>
          <w:rFonts w:hint="eastAsia" w:eastAsia="仿宋_GB2312"/>
          <w:b/>
          <w:bCs/>
          <w:kern w:val="0"/>
          <w:sz w:val="32"/>
          <w:szCs w:val="32"/>
        </w:rPr>
        <w:t xml:space="preserve"> </w:t>
      </w:r>
      <w:r>
        <w:rPr>
          <w:rFonts w:hint="eastAsia" w:eastAsia="仿宋_GB2312"/>
          <w:b/>
          <w:bCs/>
          <w:kern w:val="0"/>
          <w:sz w:val="32"/>
          <w:szCs w:val="32"/>
          <w:lang w:val="en-US" w:eastAsia="zh-CN"/>
        </w:rPr>
        <w:t>2019</w:t>
      </w:r>
      <w:r>
        <w:rPr>
          <w:rFonts w:eastAsia="仿宋_GB2312"/>
          <w:b/>
          <w:bCs/>
          <w:kern w:val="0"/>
          <w:sz w:val="32"/>
          <w:szCs w:val="32"/>
        </w:rPr>
        <w:t>年度部门决算情况说明</w:t>
      </w:r>
    </w:p>
    <w:p>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1、收入支出决算总体情况说明</w:t>
      </w:r>
    </w:p>
    <w:p>
      <w:pPr>
        <w:spacing w:line="600" w:lineRule="exact"/>
        <w:ind w:firstLine="800" w:firstLineChars="250"/>
        <w:jc w:val="left"/>
        <w:rPr>
          <w:rFonts w:eastAsia="仿宋_GB2312"/>
          <w:sz w:val="32"/>
          <w:szCs w:val="32"/>
        </w:rPr>
      </w:pPr>
      <w:r>
        <w:rPr>
          <w:rFonts w:eastAsia="仿宋_GB2312"/>
          <w:sz w:val="32"/>
          <w:szCs w:val="32"/>
        </w:rPr>
        <w:t>2、收入决算情况说明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3、支出决算情况说明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4、财政拨款收入支出决算总体情况说明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5、一般公共预算财政拨款支出决算情况说明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6、一般公共预算财政拨款基本支出决算情况说明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7、一般公共预算财政拨款三公经费支出决算情况说明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8、政府性基金预算收入支出决算情况</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9、预算绩效情况说明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10、其他重要事项情况说明</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第四部分</w:t>
      </w:r>
      <w:r>
        <w:rPr>
          <w:rFonts w:hint="eastAsia" w:eastAsia="仿宋_GB2312"/>
          <w:b/>
          <w:bCs/>
          <w:kern w:val="0"/>
          <w:sz w:val="32"/>
          <w:szCs w:val="32"/>
        </w:rPr>
        <w:t xml:space="preserve"> </w:t>
      </w:r>
      <w:r>
        <w:rPr>
          <w:rFonts w:eastAsia="仿宋_GB2312"/>
          <w:b/>
          <w:bCs/>
          <w:kern w:val="0"/>
          <w:sz w:val="32"/>
          <w:szCs w:val="32"/>
        </w:rPr>
        <w:t>名词解释</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第五部分</w:t>
      </w:r>
      <w:r>
        <w:rPr>
          <w:rFonts w:hint="eastAsia" w:eastAsia="仿宋_GB2312"/>
          <w:b/>
          <w:bCs/>
          <w:kern w:val="0"/>
          <w:sz w:val="32"/>
          <w:szCs w:val="32"/>
        </w:rPr>
        <w:t xml:space="preserve"> </w:t>
      </w:r>
      <w:r>
        <w:rPr>
          <w:rFonts w:eastAsia="仿宋_GB2312"/>
          <w:b/>
          <w:bCs/>
          <w:kern w:val="0"/>
          <w:sz w:val="32"/>
          <w:szCs w:val="32"/>
        </w:rPr>
        <w:t>附件</w:t>
      </w:r>
    </w:p>
    <w:p>
      <w:pPr>
        <w:widowControl/>
        <w:spacing w:line="600" w:lineRule="exact"/>
        <w:jc w:val="center"/>
        <w:rPr>
          <w:rFonts w:hint="eastAsia" w:eastAsia="方正小标宋_GBK"/>
          <w:bCs/>
          <w:kern w:val="0"/>
          <w:sz w:val="36"/>
          <w:szCs w:val="36"/>
        </w:rPr>
      </w:pPr>
      <w:r>
        <w:rPr>
          <w:rFonts w:hint="eastAsia" w:eastAsia="方正小标宋_GBK"/>
          <w:bCs/>
          <w:kern w:val="0"/>
          <w:sz w:val="36"/>
          <w:szCs w:val="36"/>
        </w:rPr>
        <w:t xml:space="preserve">第一部分 </w:t>
      </w:r>
      <w:r>
        <w:rPr>
          <w:rFonts w:hint="eastAsia" w:eastAsia="方正小标宋_GBK"/>
          <w:bCs/>
          <w:kern w:val="0"/>
          <w:sz w:val="36"/>
          <w:szCs w:val="36"/>
          <w:lang w:val="en-US" w:eastAsia="zh-CN"/>
        </w:rPr>
        <w:t>2019年洞口县文化馆</w:t>
      </w:r>
      <w:r>
        <w:rPr>
          <w:rFonts w:hint="eastAsia" w:eastAsia="方正小标宋_GBK"/>
          <w:bCs/>
          <w:kern w:val="0"/>
          <w:sz w:val="36"/>
          <w:szCs w:val="36"/>
        </w:rPr>
        <w:t>部门概况</w:t>
      </w:r>
    </w:p>
    <w:p>
      <w:pPr>
        <w:pStyle w:val="13"/>
        <w:ind w:firstLine="0" w:firstLineChars="0"/>
        <w:jc w:val="left"/>
        <w:rPr>
          <w:rFonts w:ascii="黑体" w:hAnsi="黑体" w:eastAsia="黑体"/>
          <w:sz w:val="32"/>
          <w:szCs w:val="32"/>
        </w:rPr>
      </w:pPr>
    </w:p>
    <w:p>
      <w:pPr>
        <w:widowControl/>
        <w:spacing w:line="600" w:lineRule="exact"/>
        <w:ind w:firstLine="640" w:firstLineChars="200"/>
        <w:rPr>
          <w:rFonts w:hint="eastAsia" w:eastAsia="仿宋_GB2312"/>
          <w:sz w:val="32"/>
          <w:szCs w:val="32"/>
          <w:lang w:eastAsia="zh-CN"/>
        </w:rPr>
      </w:pPr>
      <w:r>
        <w:rPr>
          <w:rFonts w:hint="eastAsia" w:ascii="黑体" w:hAnsi="黑体" w:eastAsia="黑体"/>
          <w:bCs/>
          <w:kern w:val="0"/>
          <w:sz w:val="32"/>
          <w:szCs w:val="32"/>
        </w:rPr>
        <w:t>一、部门职责</w:t>
      </w:r>
      <w:r>
        <w:rPr>
          <w:rFonts w:hint="eastAsia" w:ascii="黑体" w:hAnsi="黑体" w:eastAsia="黑体"/>
          <w:bCs/>
          <w:kern w:val="0"/>
          <w:sz w:val="32"/>
          <w:szCs w:val="32"/>
          <w:lang w:eastAsia="zh-CN"/>
        </w:rPr>
        <w:t>：</w:t>
      </w:r>
      <w:r>
        <w:rPr>
          <w:rFonts w:hint="eastAsia"/>
          <w:sz w:val="30"/>
          <w:szCs w:val="30"/>
        </w:rPr>
        <w:t>组</w:t>
      </w:r>
      <w:r>
        <w:rPr>
          <w:rFonts w:hint="eastAsia" w:eastAsia="仿宋_GB2312"/>
          <w:sz w:val="32"/>
          <w:szCs w:val="32"/>
          <w:lang w:eastAsia="zh-CN"/>
        </w:rPr>
        <w:t>织群众文化活动，繁荣群众文化事业文化宣传，文艺活动组织，相关培训，业余创作团体管理，业余文艺创作，组织民族民间文化艺术遗产收集整理与保护。</w:t>
      </w:r>
    </w:p>
    <w:p>
      <w:pPr>
        <w:widowControl/>
        <w:spacing w:line="600" w:lineRule="exact"/>
        <w:ind w:firstLine="640" w:firstLineChars="200"/>
        <w:rPr>
          <w:rFonts w:hint="eastAsia"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3" w:firstLineChars="200"/>
        <w:rPr>
          <w:rFonts w:hint="eastAsia" w:eastAsia="仿宋_GB2312"/>
          <w:sz w:val="32"/>
          <w:szCs w:val="32"/>
          <w:lang w:val="en-US" w:eastAsia="zh-CN"/>
        </w:rPr>
      </w:pPr>
      <w:r>
        <w:rPr>
          <w:rFonts w:hint="eastAsia" w:ascii="楷体_GB2312" w:hAnsi="宋体" w:eastAsia="楷体_GB2312"/>
          <w:b/>
          <w:bCs/>
          <w:kern w:val="0"/>
          <w:sz w:val="32"/>
          <w:szCs w:val="32"/>
        </w:rPr>
        <w:t>（一）内设机构设置。</w:t>
      </w:r>
      <w:r>
        <w:rPr>
          <w:rFonts w:hint="eastAsia"/>
          <w:sz w:val="30"/>
          <w:szCs w:val="30"/>
          <w:lang w:val="en-US" w:eastAsia="zh-CN"/>
        </w:rPr>
        <w:t>洞</w:t>
      </w:r>
      <w:r>
        <w:rPr>
          <w:rFonts w:hint="eastAsia" w:eastAsia="仿宋_GB2312"/>
          <w:sz w:val="32"/>
          <w:szCs w:val="32"/>
          <w:lang w:val="en-US" w:eastAsia="zh-CN"/>
        </w:rPr>
        <w:t>口县文化馆事业编制人数13人。实有人数21人，其中在职13人，退休8人。单位内设机构包括：办公室、财务室2个股室。</w:t>
      </w:r>
    </w:p>
    <w:p>
      <w:pPr>
        <w:widowControl/>
        <w:spacing w:line="600" w:lineRule="exact"/>
        <w:ind w:firstLine="643" w:firstLineChars="200"/>
        <w:rPr>
          <w:rFonts w:eastAsia="仿宋_GB2312"/>
          <w:bCs/>
          <w:kern w:val="0"/>
          <w:sz w:val="32"/>
          <w:szCs w:val="32"/>
        </w:rPr>
      </w:pPr>
      <w:r>
        <w:rPr>
          <w:rFonts w:hint="eastAsia" w:ascii="楷体_GB2312" w:hAnsi="宋体" w:eastAsia="楷体_GB2312"/>
          <w:b/>
          <w:bCs/>
          <w:kern w:val="0"/>
          <w:sz w:val="32"/>
          <w:szCs w:val="32"/>
        </w:rPr>
        <w:t>（二）决算单位构成。</w:t>
      </w:r>
      <w:r>
        <w:rPr>
          <w:rFonts w:hint="eastAsia" w:eastAsia="仿宋_GB2312"/>
          <w:sz w:val="32"/>
          <w:szCs w:val="32"/>
          <w:lang w:eastAsia="zh-CN"/>
        </w:rPr>
        <w:t>洞口县文化馆</w:t>
      </w:r>
      <w:r>
        <w:rPr>
          <w:rFonts w:eastAsia="仿宋_GB2312"/>
          <w:bCs/>
          <w:kern w:val="0"/>
          <w:sz w:val="32"/>
          <w:szCs w:val="32"/>
        </w:rPr>
        <w:t>2019年部门决算汇总公开单位构成包括：</w:t>
      </w:r>
      <w:r>
        <w:rPr>
          <w:rFonts w:hint="eastAsia" w:eastAsia="仿宋_GB2312"/>
          <w:bCs/>
          <w:kern w:val="0"/>
          <w:sz w:val="32"/>
          <w:szCs w:val="32"/>
          <w:lang w:eastAsia="zh-CN"/>
        </w:rPr>
        <w:t>洞口县文化馆</w:t>
      </w:r>
      <w:r>
        <w:rPr>
          <w:rFonts w:hint="eastAsia" w:eastAsia="仿宋_GB2312"/>
          <w:bCs/>
          <w:kern w:val="0"/>
          <w:sz w:val="32"/>
          <w:szCs w:val="32"/>
        </w:rPr>
        <w:t>本级，无二级单位决算。</w:t>
      </w:r>
    </w:p>
    <w:p>
      <w:pPr>
        <w:widowControl/>
        <w:spacing w:line="600" w:lineRule="exact"/>
        <w:jc w:val="center"/>
        <w:rPr>
          <w:sz w:val="72"/>
          <w:szCs w:val="72"/>
        </w:rPr>
      </w:pPr>
      <w:r>
        <w:rPr>
          <w:rFonts w:hint="eastAsia" w:eastAsia="方正小标宋_GBK"/>
          <w:bCs/>
          <w:kern w:val="0"/>
          <w:sz w:val="36"/>
          <w:szCs w:val="36"/>
        </w:rPr>
        <w:t xml:space="preserve">第二部分 </w:t>
      </w:r>
      <w:r>
        <w:rPr>
          <w:rFonts w:hint="eastAsia" w:eastAsia="方正小标宋_GBK"/>
          <w:bCs/>
          <w:kern w:val="0"/>
          <w:sz w:val="36"/>
          <w:szCs w:val="36"/>
          <w:lang w:val="en-US" w:eastAsia="zh-CN"/>
        </w:rPr>
        <w:t>2019</w:t>
      </w:r>
      <w:r>
        <w:rPr>
          <w:rFonts w:eastAsia="方正小标宋_GBK"/>
          <w:bCs/>
          <w:kern w:val="0"/>
          <w:sz w:val="36"/>
          <w:szCs w:val="36"/>
        </w:rPr>
        <w:t>年</w:t>
      </w:r>
      <w:r>
        <w:rPr>
          <w:rFonts w:hint="eastAsia" w:eastAsia="方正小标宋_GBK"/>
          <w:bCs/>
          <w:kern w:val="0"/>
          <w:sz w:val="36"/>
          <w:szCs w:val="36"/>
        </w:rPr>
        <w:t>部门决算表</w:t>
      </w:r>
    </w:p>
    <w:p>
      <w:pPr>
        <w:jc w:val="center"/>
        <w:rPr>
          <w:rFonts w:hint="eastAsia"/>
          <w:sz w:val="72"/>
          <w:szCs w:val="72"/>
        </w:rPr>
      </w:pPr>
    </w:p>
    <w:tbl>
      <w:tblPr>
        <w:tblStyle w:val="8"/>
        <w:tblW w:w="13988" w:type="dxa"/>
        <w:tblInd w:w="0" w:type="dxa"/>
        <w:shd w:val="clear" w:color="auto" w:fill="auto"/>
        <w:tblLayout w:type="fixed"/>
        <w:tblCellMar>
          <w:top w:w="0" w:type="dxa"/>
          <w:left w:w="0" w:type="dxa"/>
          <w:bottom w:w="0" w:type="dxa"/>
          <w:right w:w="0" w:type="dxa"/>
        </w:tblCellMar>
      </w:tblPr>
      <w:tblGrid>
        <w:gridCol w:w="429"/>
        <w:gridCol w:w="93"/>
        <w:gridCol w:w="93"/>
        <w:gridCol w:w="107"/>
        <w:gridCol w:w="17"/>
        <w:gridCol w:w="92"/>
        <w:gridCol w:w="95"/>
        <w:gridCol w:w="129"/>
        <w:gridCol w:w="92"/>
        <w:gridCol w:w="96"/>
        <w:gridCol w:w="155"/>
        <w:gridCol w:w="835"/>
        <w:gridCol w:w="577"/>
        <w:gridCol w:w="329"/>
        <w:gridCol w:w="223"/>
        <w:gridCol w:w="104"/>
        <w:gridCol w:w="444"/>
        <w:gridCol w:w="19"/>
        <w:gridCol w:w="35"/>
        <w:gridCol w:w="3"/>
        <w:gridCol w:w="566"/>
        <w:gridCol w:w="179"/>
        <w:gridCol w:w="191"/>
        <w:gridCol w:w="82"/>
        <w:gridCol w:w="25"/>
        <w:gridCol w:w="666"/>
        <w:gridCol w:w="19"/>
        <w:gridCol w:w="8"/>
        <w:gridCol w:w="425"/>
        <w:gridCol w:w="152"/>
        <w:gridCol w:w="804"/>
        <w:gridCol w:w="330"/>
        <w:gridCol w:w="19"/>
        <w:gridCol w:w="94"/>
        <w:gridCol w:w="456"/>
        <w:gridCol w:w="56"/>
        <w:gridCol w:w="500"/>
        <w:gridCol w:w="38"/>
        <w:gridCol w:w="49"/>
        <w:gridCol w:w="638"/>
        <w:gridCol w:w="100"/>
        <w:gridCol w:w="25"/>
        <w:gridCol w:w="53"/>
        <w:gridCol w:w="368"/>
        <w:gridCol w:w="153"/>
        <w:gridCol w:w="143"/>
        <w:gridCol w:w="160"/>
        <w:gridCol w:w="59"/>
        <w:gridCol w:w="515"/>
        <w:gridCol w:w="2"/>
        <w:gridCol w:w="219"/>
        <w:gridCol w:w="430"/>
        <w:gridCol w:w="56"/>
        <w:gridCol w:w="347"/>
        <w:gridCol w:w="219"/>
        <w:gridCol w:w="130"/>
        <w:gridCol w:w="213"/>
        <w:gridCol w:w="777"/>
        <w:gridCol w:w="129"/>
        <w:gridCol w:w="312"/>
        <w:gridCol w:w="29"/>
        <w:gridCol w:w="103"/>
        <w:gridCol w:w="182"/>
      </w:tblGrid>
      <w:tr>
        <w:tblPrEx>
          <w:shd w:val="clear" w:color="auto" w:fill="auto"/>
          <w:tblLayout w:type="fixed"/>
          <w:tblCellMar>
            <w:top w:w="0" w:type="dxa"/>
            <w:left w:w="0" w:type="dxa"/>
            <w:bottom w:w="0" w:type="dxa"/>
            <w:right w:w="0" w:type="dxa"/>
          </w:tblCellMar>
        </w:tblPrEx>
        <w:trPr>
          <w:trHeight w:val="390" w:hRule="atLeast"/>
        </w:trPr>
        <w:tc>
          <w:tcPr>
            <w:tcW w:w="13988" w:type="dxa"/>
            <w:gridSpan w:val="63"/>
            <w:tcBorders>
              <w:top w:val="nil"/>
              <w:left w:val="nil"/>
              <w:bottom w:val="nil"/>
              <w:right w:val="nil"/>
            </w:tcBorders>
            <w:shd w:val="clear" w:color="auto" w:fill="auto"/>
            <w:tcMar>
              <w:top w:w="15" w:type="dxa"/>
              <w:left w:w="15" w:type="dxa"/>
              <w:right w:w="15" w:type="dxa"/>
            </w:tcMar>
            <w:vAlign w:val="center"/>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Layout w:type="fixed"/>
          <w:tblCellMar>
            <w:top w:w="0" w:type="dxa"/>
            <w:left w:w="0" w:type="dxa"/>
            <w:bottom w:w="0" w:type="dxa"/>
            <w:right w:w="0" w:type="dxa"/>
          </w:tblCellMar>
        </w:tblPrEx>
        <w:trPr>
          <w:trHeight w:val="255" w:hRule="atLeast"/>
        </w:trPr>
        <w:tc>
          <w:tcPr>
            <w:tcW w:w="3964" w:type="dxa"/>
            <w:gridSpan w:val="19"/>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69"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47" w:type="dxa"/>
            <w:gridSpan w:val="9"/>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530" w:type="dxa"/>
            <w:gridSpan w:val="1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30" w:type="dxa"/>
            <w:gridSpan w:val="5"/>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48" w:type="dxa"/>
            <w:gridSpan w:val="1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Layout w:type="fixed"/>
          <w:tblCellMar>
            <w:top w:w="0" w:type="dxa"/>
            <w:left w:w="0" w:type="dxa"/>
            <w:bottom w:w="0" w:type="dxa"/>
            <w:right w:w="0" w:type="dxa"/>
          </w:tblCellMar>
        </w:tblPrEx>
        <w:trPr>
          <w:trHeight w:val="255" w:hRule="atLeast"/>
        </w:trPr>
        <w:tc>
          <w:tcPr>
            <w:tcW w:w="3964" w:type="dxa"/>
            <w:gridSpan w:val="1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cs="宋体"/>
                <w:i w:val="0"/>
                <w:color w:val="000000"/>
                <w:kern w:val="0"/>
                <w:sz w:val="20"/>
                <w:szCs w:val="20"/>
                <w:u w:val="none"/>
                <w:lang w:val="en-US" w:eastAsia="zh-CN" w:bidi="ar"/>
              </w:rPr>
              <w:t>洞口县文化馆</w:t>
            </w:r>
          </w:p>
        </w:tc>
        <w:tc>
          <w:tcPr>
            <w:tcW w:w="569"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47" w:type="dxa"/>
            <w:gridSpan w:val="9"/>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530" w:type="dxa"/>
            <w:gridSpan w:val="1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30" w:type="dxa"/>
            <w:gridSpan w:val="5"/>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48" w:type="dxa"/>
            <w:gridSpan w:val="1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0"/>
                <w:szCs w:val="20"/>
                <w:u w:val="none"/>
                <w:lang w:val="en-US" w:eastAsia="zh-CN" w:bidi="ar"/>
              </w:rPr>
              <w:t>元</w:t>
            </w:r>
          </w:p>
        </w:tc>
      </w:tr>
      <w:tr>
        <w:tblPrEx>
          <w:tblLayout w:type="fixed"/>
          <w:tblCellMar>
            <w:top w:w="0" w:type="dxa"/>
            <w:left w:w="0" w:type="dxa"/>
            <w:bottom w:w="0" w:type="dxa"/>
            <w:right w:w="0" w:type="dxa"/>
          </w:tblCellMar>
        </w:tblPrEx>
        <w:trPr>
          <w:trHeight w:val="308" w:hRule="atLeast"/>
        </w:trPr>
        <w:tc>
          <w:tcPr>
            <w:tcW w:w="6280" w:type="dxa"/>
            <w:gridSpan w:val="30"/>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708" w:type="dxa"/>
            <w:gridSpan w:val="3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47" w:type="dxa"/>
            <w:gridSpan w:val="9"/>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3148"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7" w:type="dxa"/>
            <w:gridSpan w:val="9"/>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48"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222.71</w:t>
            </w: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221.71</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222.71</w:t>
            </w: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222.71</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964" w:type="dxa"/>
            <w:gridSpan w:val="1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9"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74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222.71</w:t>
            </w:r>
          </w:p>
        </w:tc>
        <w:tc>
          <w:tcPr>
            <w:tcW w:w="3530" w:type="dxa"/>
            <w:gridSpan w:val="1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3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3148" w:type="dxa"/>
            <w:gridSpan w:val="1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222.71</w:t>
            </w:r>
          </w:p>
        </w:tc>
      </w:tr>
      <w:tr>
        <w:tblPrEx>
          <w:tblLayout w:type="fixed"/>
          <w:tblCellMar>
            <w:top w:w="0" w:type="dxa"/>
            <w:left w:w="0" w:type="dxa"/>
            <w:bottom w:w="0" w:type="dxa"/>
            <w:right w:w="0" w:type="dxa"/>
          </w:tblCellMar>
        </w:tblPrEx>
        <w:trPr>
          <w:trHeight w:val="308" w:hRule="atLeast"/>
        </w:trPr>
        <w:tc>
          <w:tcPr>
            <w:tcW w:w="13988" w:type="dxa"/>
            <w:gridSpan w:val="6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tc>
      </w:tr>
      <w:tr>
        <w:tblPrEx>
          <w:tblLayout w:type="fixed"/>
          <w:tblCellMar>
            <w:top w:w="0" w:type="dxa"/>
            <w:left w:w="0" w:type="dxa"/>
            <w:bottom w:w="0" w:type="dxa"/>
            <w:right w:w="0" w:type="dxa"/>
          </w:tblCellMar>
        </w:tblPrEx>
        <w:trPr>
          <w:gridAfter w:val="5"/>
          <w:wAfter w:w="755" w:type="dxa"/>
          <w:trHeight w:val="390" w:hRule="atLeast"/>
        </w:trPr>
        <w:tc>
          <w:tcPr>
            <w:tcW w:w="13233" w:type="dxa"/>
            <w:gridSpan w:val="58"/>
            <w:tcBorders>
              <w:top w:val="nil"/>
              <w:left w:val="nil"/>
              <w:bottom w:val="nil"/>
              <w:right w:val="nil"/>
            </w:tcBorders>
            <w:shd w:val="clear" w:color="auto" w:fill="auto"/>
            <w:tcMar>
              <w:top w:w="15" w:type="dxa"/>
              <w:left w:w="15" w:type="dxa"/>
              <w:right w:w="15" w:type="dxa"/>
            </w:tcMar>
            <w:vAlign w:val="center"/>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收入决算表</w:t>
            </w:r>
          </w:p>
        </w:tc>
      </w:tr>
      <w:tr>
        <w:tblPrEx>
          <w:tblLayout w:type="fixed"/>
          <w:tblCellMar>
            <w:top w:w="0" w:type="dxa"/>
            <w:left w:w="0" w:type="dxa"/>
            <w:bottom w:w="0" w:type="dxa"/>
            <w:right w:w="0" w:type="dxa"/>
          </w:tblCellMar>
        </w:tblPrEx>
        <w:trPr>
          <w:gridAfter w:val="5"/>
          <w:wAfter w:w="755" w:type="dxa"/>
          <w:trHeight w:val="255" w:hRule="atLeast"/>
        </w:trPr>
        <w:tc>
          <w:tcPr>
            <w:tcW w:w="615"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1"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7"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667"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66" w:type="dxa"/>
            <w:gridSpan w:val="9"/>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38"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12"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37"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98"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52"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20"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Layout w:type="fixed"/>
          <w:tblCellMar>
            <w:top w:w="0" w:type="dxa"/>
            <w:left w:w="0" w:type="dxa"/>
            <w:bottom w:w="0" w:type="dxa"/>
            <w:right w:w="0" w:type="dxa"/>
          </w:tblCellMar>
        </w:tblPrEx>
        <w:trPr>
          <w:gridAfter w:val="5"/>
          <w:wAfter w:w="755" w:type="dxa"/>
          <w:trHeight w:val="255" w:hRule="atLeast"/>
        </w:trPr>
        <w:tc>
          <w:tcPr>
            <w:tcW w:w="3910" w:type="dxa"/>
            <w:gridSpan w:val="1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cs="宋体"/>
                <w:i w:val="0"/>
                <w:color w:val="000000"/>
                <w:kern w:val="0"/>
                <w:sz w:val="20"/>
                <w:szCs w:val="20"/>
                <w:u w:val="none"/>
                <w:lang w:val="en-US" w:eastAsia="zh-CN" w:bidi="ar"/>
              </w:rPr>
              <w:t>洞口县文化馆</w:t>
            </w:r>
          </w:p>
        </w:tc>
        <w:tc>
          <w:tcPr>
            <w:tcW w:w="1766" w:type="dxa"/>
            <w:gridSpan w:val="9"/>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38"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12"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37"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98"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17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0"/>
                <w:szCs w:val="20"/>
                <w:u w:val="none"/>
                <w:lang w:val="en-US" w:eastAsia="zh-CN" w:bidi="ar"/>
              </w:rPr>
              <w:t>元</w:t>
            </w:r>
          </w:p>
        </w:tc>
      </w:tr>
      <w:tr>
        <w:tblPrEx>
          <w:tblLayout w:type="fixed"/>
          <w:tblCellMar>
            <w:top w:w="0" w:type="dxa"/>
            <w:left w:w="0" w:type="dxa"/>
            <w:bottom w:w="0" w:type="dxa"/>
            <w:right w:w="0" w:type="dxa"/>
          </w:tblCellMar>
        </w:tblPrEx>
        <w:trPr>
          <w:gridAfter w:val="5"/>
          <w:wAfter w:w="755" w:type="dxa"/>
          <w:trHeight w:val="308" w:hRule="atLeast"/>
        </w:trPr>
        <w:tc>
          <w:tcPr>
            <w:tcW w:w="3910" w:type="dxa"/>
            <w:gridSpan w:val="17"/>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66" w:type="dxa"/>
            <w:gridSpan w:val="9"/>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738" w:type="dxa"/>
            <w:gridSpan w:val="6"/>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212" w:type="dxa"/>
            <w:gridSpan w:val="7"/>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337" w:type="dxa"/>
            <w:gridSpan w:val="6"/>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098" w:type="dxa"/>
            <w:gridSpan w:val="6"/>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052" w:type="dxa"/>
            <w:gridSpan w:val="4"/>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120"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667" w:type="dxa"/>
            <w:gridSpan w:val="7"/>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66" w:type="dxa"/>
            <w:gridSpan w:val="9"/>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8"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2"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7"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8"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2"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67" w:type="dxa"/>
            <w:gridSpan w:val="7"/>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66" w:type="dxa"/>
            <w:gridSpan w:val="9"/>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8"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2"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7"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8"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2"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67" w:type="dxa"/>
            <w:gridSpan w:val="7"/>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66" w:type="dxa"/>
            <w:gridSpan w:val="9"/>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8"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2"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7"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8"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2"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5"/>
          <w:wAfter w:w="755" w:type="dxa"/>
          <w:trHeight w:val="308" w:hRule="atLeast"/>
        </w:trPr>
        <w:tc>
          <w:tcPr>
            <w:tcW w:w="3910" w:type="dxa"/>
            <w:gridSpan w:val="17"/>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66" w:type="dxa"/>
            <w:gridSpan w:val="9"/>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38"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12" w:type="dxa"/>
            <w:gridSpan w:val="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7"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98"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52"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2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gridAfter w:val="5"/>
          <w:wAfter w:w="755" w:type="dxa"/>
          <w:trHeight w:val="308" w:hRule="atLeast"/>
        </w:trPr>
        <w:tc>
          <w:tcPr>
            <w:tcW w:w="3910" w:type="dxa"/>
            <w:gridSpan w:val="17"/>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222.71</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222.71</w:t>
            </w: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66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221.71</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221.71</w:t>
            </w: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266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w:t>
            </w: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266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156.60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156.60</w:t>
            </w: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2070108</w:t>
            </w:r>
          </w:p>
        </w:tc>
        <w:tc>
          <w:tcPr>
            <w:tcW w:w="266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文化活动</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266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266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其他文化体育与传媒支出</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43.51</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43.51</w:t>
            </w: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266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43.51</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43.51</w:t>
            </w: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66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266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266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66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66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5"/>
          <w:wAfter w:w="755" w:type="dxa"/>
          <w:trHeight w:val="308" w:hRule="atLeast"/>
        </w:trPr>
        <w:tc>
          <w:tcPr>
            <w:tcW w:w="1243"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66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12"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337"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5"/>
          <w:wAfter w:w="755" w:type="dxa"/>
          <w:trHeight w:val="308" w:hRule="atLeast"/>
        </w:trPr>
        <w:tc>
          <w:tcPr>
            <w:tcW w:w="13233" w:type="dxa"/>
            <w:gridSpan w:val="5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r>
        <w:tblPrEx>
          <w:tblLayout w:type="fixed"/>
          <w:tblCellMar>
            <w:top w:w="0" w:type="dxa"/>
            <w:left w:w="0" w:type="dxa"/>
            <w:bottom w:w="0" w:type="dxa"/>
            <w:right w:w="0" w:type="dxa"/>
          </w:tblCellMar>
        </w:tblPrEx>
        <w:trPr>
          <w:gridAfter w:val="4"/>
          <w:wAfter w:w="626" w:type="dxa"/>
          <w:trHeight w:val="390" w:hRule="atLeast"/>
        </w:trPr>
        <w:tc>
          <w:tcPr>
            <w:tcW w:w="522" w:type="dxa"/>
            <w:gridSpan w:val="2"/>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309"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6"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782" w:type="dxa"/>
            <w:gridSpan w:val="9"/>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66" w:type="dxa"/>
            <w:gridSpan w:val="9"/>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38"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c>
          <w:tcPr>
            <w:tcW w:w="1831"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61" w:type="dxa"/>
            <w:gridSpan w:val="8"/>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66"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871"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r>
      <w:tr>
        <w:tblPrEx>
          <w:tblLayout w:type="fixed"/>
          <w:tblCellMar>
            <w:top w:w="0" w:type="dxa"/>
            <w:left w:w="0" w:type="dxa"/>
            <w:bottom w:w="0" w:type="dxa"/>
            <w:right w:w="0" w:type="dxa"/>
          </w:tblCellMar>
        </w:tblPrEx>
        <w:trPr>
          <w:gridAfter w:val="4"/>
          <w:wAfter w:w="626" w:type="dxa"/>
          <w:trHeight w:val="255" w:hRule="atLeast"/>
        </w:trPr>
        <w:tc>
          <w:tcPr>
            <w:tcW w:w="52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09"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6"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782" w:type="dxa"/>
            <w:gridSpan w:val="9"/>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66" w:type="dxa"/>
            <w:gridSpan w:val="9"/>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38"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831"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61" w:type="dxa"/>
            <w:gridSpan w:val="8"/>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66"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871"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Layout w:type="fixed"/>
          <w:tblCellMar>
            <w:top w:w="0" w:type="dxa"/>
            <w:left w:w="0" w:type="dxa"/>
            <w:bottom w:w="0" w:type="dxa"/>
            <w:right w:w="0" w:type="dxa"/>
          </w:tblCellMar>
        </w:tblPrEx>
        <w:trPr>
          <w:gridAfter w:val="4"/>
          <w:wAfter w:w="626" w:type="dxa"/>
          <w:trHeight w:val="255" w:hRule="atLeast"/>
        </w:trPr>
        <w:tc>
          <w:tcPr>
            <w:tcW w:w="3929" w:type="dxa"/>
            <w:gridSpan w:val="18"/>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cs="宋体"/>
                <w:i w:val="0"/>
                <w:color w:val="000000"/>
                <w:kern w:val="0"/>
                <w:sz w:val="20"/>
                <w:szCs w:val="20"/>
                <w:u w:val="none"/>
                <w:lang w:val="en-US" w:eastAsia="zh-CN" w:bidi="ar"/>
              </w:rPr>
              <w:t>洞口县文化馆</w:t>
            </w:r>
          </w:p>
        </w:tc>
        <w:tc>
          <w:tcPr>
            <w:tcW w:w="1766" w:type="dxa"/>
            <w:gridSpan w:val="9"/>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38"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831"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61" w:type="dxa"/>
            <w:gridSpan w:val="8"/>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66"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871"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0"/>
                <w:szCs w:val="20"/>
                <w:u w:val="none"/>
                <w:lang w:val="en-US" w:eastAsia="zh-CN" w:bidi="ar"/>
              </w:rPr>
              <w:t>元</w:t>
            </w:r>
          </w:p>
        </w:tc>
      </w:tr>
      <w:tr>
        <w:tblPrEx>
          <w:tblLayout w:type="fixed"/>
          <w:tblCellMar>
            <w:top w:w="0" w:type="dxa"/>
            <w:left w:w="0" w:type="dxa"/>
            <w:bottom w:w="0" w:type="dxa"/>
            <w:right w:w="0" w:type="dxa"/>
          </w:tblCellMar>
        </w:tblPrEx>
        <w:trPr>
          <w:gridAfter w:val="4"/>
          <w:wAfter w:w="626" w:type="dxa"/>
          <w:trHeight w:val="308" w:hRule="atLeast"/>
        </w:trPr>
        <w:tc>
          <w:tcPr>
            <w:tcW w:w="3929" w:type="dxa"/>
            <w:gridSpan w:val="18"/>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66" w:type="dxa"/>
            <w:gridSpan w:val="9"/>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738" w:type="dxa"/>
            <w:gridSpan w:val="6"/>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831" w:type="dxa"/>
            <w:gridSpan w:val="7"/>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61" w:type="dxa"/>
            <w:gridSpan w:val="8"/>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66" w:type="dxa"/>
            <w:gridSpan w:val="4"/>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871" w:type="dxa"/>
            <w:gridSpan w:val="7"/>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gridAfter w:val="4"/>
          <w:wAfter w:w="626" w:type="dxa"/>
          <w:trHeight w:val="308" w:hRule="atLeast"/>
        </w:trPr>
        <w:tc>
          <w:tcPr>
            <w:tcW w:w="1147" w:type="dxa"/>
            <w:gridSpan w:val="9"/>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782" w:type="dxa"/>
            <w:gridSpan w:val="9"/>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66" w:type="dxa"/>
            <w:gridSpan w:val="9"/>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8"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1"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1" w:type="dxa"/>
            <w:gridSpan w:val="8"/>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6"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1"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4"/>
          <w:wAfter w:w="626" w:type="dxa"/>
          <w:trHeight w:val="308" w:hRule="atLeast"/>
        </w:trPr>
        <w:tc>
          <w:tcPr>
            <w:tcW w:w="1147" w:type="dxa"/>
            <w:gridSpan w:val="9"/>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82" w:type="dxa"/>
            <w:gridSpan w:val="9"/>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66" w:type="dxa"/>
            <w:gridSpan w:val="9"/>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8"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1"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1" w:type="dxa"/>
            <w:gridSpan w:val="8"/>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6"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1"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4"/>
          <w:wAfter w:w="626" w:type="dxa"/>
          <w:trHeight w:val="308" w:hRule="atLeast"/>
        </w:trPr>
        <w:tc>
          <w:tcPr>
            <w:tcW w:w="1147" w:type="dxa"/>
            <w:gridSpan w:val="9"/>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82" w:type="dxa"/>
            <w:gridSpan w:val="9"/>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66" w:type="dxa"/>
            <w:gridSpan w:val="9"/>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8"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1"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1" w:type="dxa"/>
            <w:gridSpan w:val="8"/>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6"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1"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4"/>
          <w:wAfter w:w="626" w:type="dxa"/>
          <w:trHeight w:val="308" w:hRule="atLeast"/>
        </w:trPr>
        <w:tc>
          <w:tcPr>
            <w:tcW w:w="3929" w:type="dxa"/>
            <w:gridSpan w:val="1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66" w:type="dxa"/>
            <w:gridSpan w:val="9"/>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38"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31" w:type="dxa"/>
            <w:gridSpan w:val="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61"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71" w:type="dxa"/>
            <w:gridSpan w:val="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gridAfter w:val="4"/>
          <w:wAfter w:w="626" w:type="dxa"/>
          <w:trHeight w:val="308" w:hRule="atLeast"/>
        </w:trPr>
        <w:tc>
          <w:tcPr>
            <w:tcW w:w="3929" w:type="dxa"/>
            <w:gridSpan w:val="1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222.71</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222.71</w:t>
            </w:r>
          </w:p>
        </w:tc>
        <w:tc>
          <w:tcPr>
            <w:tcW w:w="183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6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6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87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626" w:type="dxa"/>
          <w:trHeight w:val="308" w:hRule="atLeast"/>
        </w:trPr>
        <w:tc>
          <w:tcPr>
            <w:tcW w:w="1147"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782"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221.71</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221.71</w:t>
            </w:r>
          </w:p>
        </w:tc>
        <w:tc>
          <w:tcPr>
            <w:tcW w:w="183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7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626" w:type="dxa"/>
          <w:trHeight w:val="308" w:hRule="atLeast"/>
        </w:trPr>
        <w:tc>
          <w:tcPr>
            <w:tcW w:w="1147"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2782"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w:t>
            </w:r>
          </w:p>
        </w:tc>
        <w:tc>
          <w:tcPr>
            <w:tcW w:w="183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7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626" w:type="dxa"/>
          <w:trHeight w:val="308" w:hRule="atLeast"/>
        </w:trPr>
        <w:tc>
          <w:tcPr>
            <w:tcW w:w="1147"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2782"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156.60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156.60</w:t>
            </w:r>
          </w:p>
        </w:tc>
        <w:tc>
          <w:tcPr>
            <w:tcW w:w="183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7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626" w:type="dxa"/>
          <w:trHeight w:val="308" w:hRule="atLeast"/>
        </w:trPr>
        <w:tc>
          <w:tcPr>
            <w:tcW w:w="1147"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2070108</w:t>
            </w:r>
          </w:p>
        </w:tc>
        <w:tc>
          <w:tcPr>
            <w:tcW w:w="2782"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文化活动</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83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7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626" w:type="dxa"/>
          <w:trHeight w:val="308" w:hRule="atLeast"/>
        </w:trPr>
        <w:tc>
          <w:tcPr>
            <w:tcW w:w="1147"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2782"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c>
          <w:tcPr>
            <w:tcW w:w="183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7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626" w:type="dxa"/>
          <w:trHeight w:val="308" w:hRule="atLeast"/>
        </w:trPr>
        <w:tc>
          <w:tcPr>
            <w:tcW w:w="1147"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2782"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其他文化体育与传媒支出</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43.51</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43.51</w:t>
            </w:r>
          </w:p>
        </w:tc>
        <w:tc>
          <w:tcPr>
            <w:tcW w:w="183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7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626" w:type="dxa"/>
          <w:trHeight w:val="308" w:hRule="atLeast"/>
        </w:trPr>
        <w:tc>
          <w:tcPr>
            <w:tcW w:w="1147"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2782"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43.51</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43.51</w:t>
            </w:r>
          </w:p>
        </w:tc>
        <w:tc>
          <w:tcPr>
            <w:tcW w:w="183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7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626" w:type="dxa"/>
          <w:trHeight w:val="308" w:hRule="atLeast"/>
        </w:trPr>
        <w:tc>
          <w:tcPr>
            <w:tcW w:w="1147"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782"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3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7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626" w:type="dxa"/>
          <w:trHeight w:val="308" w:hRule="atLeast"/>
        </w:trPr>
        <w:tc>
          <w:tcPr>
            <w:tcW w:w="1147"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2782"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3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7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626" w:type="dxa"/>
          <w:trHeight w:val="308" w:hRule="atLeast"/>
        </w:trPr>
        <w:tc>
          <w:tcPr>
            <w:tcW w:w="1147"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2782"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766"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3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3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71"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626" w:type="dxa"/>
          <w:trHeight w:val="308" w:hRule="atLeast"/>
        </w:trPr>
        <w:tc>
          <w:tcPr>
            <w:tcW w:w="13362" w:type="dxa"/>
            <w:gridSpan w:val="5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r>
        <w:tblPrEx>
          <w:tblLayout w:type="fixed"/>
          <w:tblCellMar>
            <w:top w:w="0" w:type="dxa"/>
            <w:left w:w="0" w:type="dxa"/>
            <w:bottom w:w="0" w:type="dxa"/>
            <w:right w:w="0" w:type="dxa"/>
          </w:tblCellMar>
        </w:tblPrEx>
        <w:trPr>
          <w:gridAfter w:val="2"/>
          <w:wAfter w:w="285" w:type="dxa"/>
          <w:trHeight w:val="390" w:hRule="atLeast"/>
        </w:trPr>
        <w:tc>
          <w:tcPr>
            <w:tcW w:w="13703" w:type="dxa"/>
            <w:gridSpan w:val="61"/>
            <w:tcBorders>
              <w:top w:val="nil"/>
              <w:left w:val="nil"/>
              <w:bottom w:val="nil"/>
              <w:right w:val="nil"/>
            </w:tcBorders>
            <w:shd w:val="clear" w:color="auto" w:fill="auto"/>
            <w:tcMar>
              <w:top w:w="15" w:type="dxa"/>
              <w:left w:w="15" w:type="dxa"/>
              <w:right w:w="15" w:type="dxa"/>
            </w:tcMar>
            <w:vAlign w:val="center"/>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Layout w:type="fixed"/>
          <w:tblCellMar>
            <w:top w:w="0" w:type="dxa"/>
            <w:left w:w="0" w:type="dxa"/>
            <w:bottom w:w="0" w:type="dxa"/>
            <w:right w:w="0" w:type="dxa"/>
          </w:tblCellMar>
        </w:tblPrEx>
        <w:trPr>
          <w:gridAfter w:val="2"/>
          <w:wAfter w:w="285" w:type="dxa"/>
          <w:trHeight w:val="255" w:hRule="atLeast"/>
        </w:trPr>
        <w:tc>
          <w:tcPr>
            <w:tcW w:w="2810" w:type="dxa"/>
            <w:gridSpan w:val="1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5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50"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271" w:type="dxa"/>
            <w:gridSpan w:val="1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94"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89" w:type="dxa"/>
            <w:gridSpan w:val="9"/>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28"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809"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Layout w:type="fixed"/>
          <w:tblCellMar>
            <w:top w:w="0" w:type="dxa"/>
            <w:left w:w="0" w:type="dxa"/>
            <w:bottom w:w="0" w:type="dxa"/>
            <w:right w:w="0" w:type="dxa"/>
          </w:tblCellMar>
        </w:tblPrEx>
        <w:trPr>
          <w:gridAfter w:val="2"/>
          <w:wAfter w:w="285" w:type="dxa"/>
          <w:trHeight w:val="255" w:hRule="atLeast"/>
        </w:trPr>
        <w:tc>
          <w:tcPr>
            <w:tcW w:w="2810" w:type="dxa"/>
            <w:gridSpan w:val="1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5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50"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271" w:type="dxa"/>
            <w:gridSpan w:val="1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94"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89" w:type="dxa"/>
            <w:gridSpan w:val="9"/>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28"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809"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0"/>
                <w:szCs w:val="20"/>
                <w:u w:val="none"/>
                <w:lang w:val="en-US" w:eastAsia="zh-CN" w:bidi="ar"/>
              </w:rPr>
              <w:t>元</w:t>
            </w:r>
          </w:p>
        </w:tc>
      </w:tr>
      <w:tr>
        <w:tblPrEx>
          <w:tblLayout w:type="fixed"/>
          <w:tblCellMar>
            <w:top w:w="0" w:type="dxa"/>
            <w:left w:w="0" w:type="dxa"/>
            <w:bottom w:w="0" w:type="dxa"/>
            <w:right w:w="0" w:type="dxa"/>
          </w:tblCellMar>
        </w:tblPrEx>
        <w:trPr>
          <w:gridAfter w:val="2"/>
          <w:wAfter w:w="285" w:type="dxa"/>
          <w:trHeight w:val="308" w:hRule="atLeast"/>
        </w:trPr>
        <w:tc>
          <w:tcPr>
            <w:tcW w:w="4712" w:type="dxa"/>
            <w:gridSpan w:val="2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991" w:type="dxa"/>
            <w:gridSpan w:val="39"/>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gridAfter w:val="2"/>
          <w:wAfter w:w="285" w:type="dxa"/>
          <w:trHeight w:val="292" w:hRule="atLeast"/>
        </w:trPr>
        <w:tc>
          <w:tcPr>
            <w:tcW w:w="2810" w:type="dxa"/>
            <w:gridSpan w:val="1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5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50" w:type="dxa"/>
            <w:gridSpan w:val="7"/>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271" w:type="dxa"/>
            <w:gridSpan w:val="1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94"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89" w:type="dxa"/>
            <w:gridSpan w:val="9"/>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28" w:type="dxa"/>
            <w:gridSpan w:val="7"/>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809" w:type="dxa"/>
            <w:gridSpan w:val="7"/>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Layout w:type="fixed"/>
          <w:tblCellMar>
            <w:top w:w="0" w:type="dxa"/>
            <w:left w:w="0" w:type="dxa"/>
            <w:bottom w:w="0" w:type="dxa"/>
            <w:right w:w="0" w:type="dxa"/>
          </w:tblCellMar>
        </w:tblPrEx>
        <w:trPr>
          <w:gridAfter w:val="2"/>
          <w:wAfter w:w="285" w:type="dxa"/>
          <w:trHeight w:val="615" w:hRule="atLeast"/>
        </w:trPr>
        <w:tc>
          <w:tcPr>
            <w:tcW w:w="2810" w:type="dxa"/>
            <w:gridSpan w:val="1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gridSpan w:val="7"/>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1" w:type="dxa"/>
            <w:gridSpan w:val="1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4"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9" w:type="dxa"/>
            <w:gridSpan w:val="9"/>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8" w:type="dxa"/>
            <w:gridSpan w:val="7"/>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9" w:type="dxa"/>
            <w:gridSpan w:val="7"/>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gridSpan w:val="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9" w:type="dxa"/>
            <w:gridSpan w:val="9"/>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28" w:type="dxa"/>
            <w:gridSpan w:val="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09" w:type="dxa"/>
            <w:gridSpan w:val="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222.71</w:t>
            </w: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221.71</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221.71</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b/>
                <w:i w:val="0"/>
                <w:color w:val="000000"/>
                <w:kern w:val="0"/>
                <w:sz w:val="22"/>
                <w:szCs w:val="22"/>
                <w:u w:val="none"/>
                <w:lang w:val="en-US" w:eastAsia="zh-CN" w:bidi="ar"/>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二十二、其他支出</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b/>
                <w:i w:val="0"/>
                <w:color w:val="000000"/>
                <w:kern w:val="0"/>
                <w:sz w:val="22"/>
                <w:szCs w:val="22"/>
                <w:u w:val="none"/>
                <w:lang w:val="en-US" w:eastAsia="zh-CN" w:bidi="ar"/>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b/>
                <w:i w:val="0"/>
                <w:color w:val="000000"/>
                <w:kern w:val="0"/>
                <w:sz w:val="22"/>
                <w:szCs w:val="22"/>
                <w:u w:val="none"/>
                <w:lang w:val="en-US" w:eastAsia="zh-CN" w:bidi="ar"/>
              </w:rPr>
            </w:pP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2"/>
                <w:szCs w:val="22"/>
                <w:u w:val="none"/>
                <w:lang w:val="en-US" w:eastAsia="zh-CN" w:bidi="ar"/>
              </w:rPr>
            </w:pP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2"/>
                <w:szCs w:val="22"/>
                <w:u w:val="none"/>
                <w:lang w:val="en-US" w:eastAsia="zh-CN" w:bidi="ar"/>
              </w:rPr>
            </w:pP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222.71</w:t>
            </w: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222.71</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222.71</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2"/>
          <w:wAfter w:w="285" w:type="dxa"/>
          <w:trHeight w:val="308" w:hRule="atLeast"/>
        </w:trPr>
        <w:tc>
          <w:tcPr>
            <w:tcW w:w="2810" w:type="dxa"/>
            <w:gridSpan w:val="1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5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5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222.71</w:t>
            </w:r>
          </w:p>
        </w:tc>
        <w:tc>
          <w:tcPr>
            <w:tcW w:w="3271"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4"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68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222.71</w:t>
            </w:r>
          </w:p>
        </w:tc>
        <w:tc>
          <w:tcPr>
            <w:tcW w:w="1628"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222.71</w:t>
            </w:r>
          </w:p>
        </w:tc>
        <w:tc>
          <w:tcPr>
            <w:tcW w:w="1809"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285" w:type="dxa"/>
          <w:trHeight w:val="308" w:hRule="atLeast"/>
        </w:trPr>
        <w:tc>
          <w:tcPr>
            <w:tcW w:w="13703" w:type="dxa"/>
            <w:gridSpan w:val="6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r>
        <w:tblPrEx>
          <w:tblLayout w:type="fixed"/>
          <w:tblCellMar>
            <w:top w:w="0" w:type="dxa"/>
            <w:left w:w="0" w:type="dxa"/>
            <w:bottom w:w="0" w:type="dxa"/>
            <w:right w:w="0" w:type="dxa"/>
          </w:tblCellMar>
        </w:tblPrEx>
        <w:trPr>
          <w:gridAfter w:val="10"/>
          <w:wAfter w:w="2441" w:type="dxa"/>
          <w:trHeight w:val="390" w:hRule="atLeast"/>
        </w:trPr>
        <w:tc>
          <w:tcPr>
            <w:tcW w:w="11547" w:type="dxa"/>
            <w:gridSpan w:val="53"/>
            <w:tcBorders>
              <w:top w:val="nil"/>
              <w:left w:val="nil"/>
              <w:bottom w:val="nil"/>
              <w:right w:val="nil"/>
            </w:tcBorders>
            <w:shd w:val="clear" w:color="auto" w:fill="auto"/>
            <w:tcMar>
              <w:top w:w="15" w:type="dxa"/>
              <w:left w:w="15" w:type="dxa"/>
              <w:right w:w="15" w:type="dxa"/>
            </w:tcMar>
            <w:vAlign w:val="center"/>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Layout w:type="fixed"/>
          <w:tblCellMar>
            <w:top w:w="0" w:type="dxa"/>
            <w:left w:w="0" w:type="dxa"/>
            <w:bottom w:w="0" w:type="dxa"/>
            <w:right w:w="0" w:type="dxa"/>
          </w:tblCellMar>
        </w:tblPrEx>
        <w:trPr>
          <w:gridAfter w:val="10"/>
          <w:wAfter w:w="2441" w:type="dxa"/>
          <w:trHeight w:val="255" w:hRule="atLeast"/>
        </w:trPr>
        <w:tc>
          <w:tcPr>
            <w:tcW w:w="4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0"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6"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848" w:type="dxa"/>
            <w:gridSpan w:val="15"/>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181" w:type="dxa"/>
            <w:gridSpan w:val="8"/>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280" w:type="dxa"/>
            <w:gridSpan w:val="10"/>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183" w:type="dxa"/>
            <w:gridSpan w:val="1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Layout w:type="fixed"/>
          <w:tblCellMar>
            <w:top w:w="0" w:type="dxa"/>
            <w:left w:w="0" w:type="dxa"/>
            <w:bottom w:w="0" w:type="dxa"/>
            <w:right w:w="0" w:type="dxa"/>
          </w:tblCellMar>
        </w:tblPrEx>
        <w:trPr>
          <w:gridAfter w:val="10"/>
          <w:wAfter w:w="2441" w:type="dxa"/>
          <w:trHeight w:val="255" w:hRule="atLeast"/>
        </w:trPr>
        <w:tc>
          <w:tcPr>
            <w:tcW w:w="4903" w:type="dxa"/>
            <w:gridSpan w:val="2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cs="宋体"/>
                <w:i w:val="0"/>
                <w:color w:val="000000"/>
                <w:kern w:val="0"/>
                <w:sz w:val="20"/>
                <w:szCs w:val="20"/>
                <w:u w:val="none"/>
                <w:lang w:val="en-US" w:eastAsia="zh-CN" w:bidi="ar"/>
              </w:rPr>
              <w:t>洞口县文化馆</w:t>
            </w:r>
          </w:p>
        </w:tc>
        <w:tc>
          <w:tcPr>
            <w:tcW w:w="2181" w:type="dxa"/>
            <w:gridSpan w:val="8"/>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280" w:type="dxa"/>
            <w:gridSpan w:val="10"/>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183" w:type="dxa"/>
            <w:gridSpan w:val="1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0"/>
                <w:szCs w:val="20"/>
                <w:u w:val="none"/>
                <w:lang w:val="en-US" w:eastAsia="zh-CN" w:bidi="ar"/>
              </w:rPr>
              <w:t>元</w:t>
            </w:r>
          </w:p>
        </w:tc>
      </w:tr>
      <w:tr>
        <w:tblPrEx>
          <w:tblLayout w:type="fixed"/>
          <w:tblCellMar>
            <w:top w:w="0" w:type="dxa"/>
            <w:left w:w="0" w:type="dxa"/>
            <w:bottom w:w="0" w:type="dxa"/>
            <w:right w:w="0" w:type="dxa"/>
          </w:tblCellMar>
        </w:tblPrEx>
        <w:trPr>
          <w:gridAfter w:val="10"/>
          <w:wAfter w:w="2441" w:type="dxa"/>
          <w:trHeight w:val="308" w:hRule="atLeast"/>
        </w:trPr>
        <w:tc>
          <w:tcPr>
            <w:tcW w:w="4903" w:type="dxa"/>
            <w:gridSpan w:val="2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644" w:type="dxa"/>
            <w:gridSpan w:val="30"/>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gridAfter w:val="10"/>
          <w:wAfter w:w="2441" w:type="dxa"/>
          <w:trHeight w:val="308" w:hRule="atLeast"/>
        </w:trPr>
        <w:tc>
          <w:tcPr>
            <w:tcW w:w="1055" w:type="dxa"/>
            <w:gridSpan w:val="8"/>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848" w:type="dxa"/>
            <w:gridSpan w:val="1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181" w:type="dxa"/>
            <w:gridSpan w:val="8"/>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280" w:type="dxa"/>
            <w:gridSpan w:val="10"/>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183" w:type="dxa"/>
            <w:gridSpan w:val="1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gridAfter w:val="10"/>
          <w:wAfter w:w="2441" w:type="dxa"/>
          <w:trHeight w:val="277" w:hRule="atLeast"/>
        </w:trPr>
        <w:tc>
          <w:tcPr>
            <w:tcW w:w="1055" w:type="dxa"/>
            <w:gridSpan w:val="8"/>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48" w:type="dxa"/>
            <w:gridSpan w:val="1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81" w:type="dxa"/>
            <w:gridSpan w:val="8"/>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gridSpan w:val="10"/>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83" w:type="dxa"/>
            <w:gridSpan w:val="1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0"/>
          <w:wAfter w:w="2441" w:type="dxa"/>
          <w:trHeight w:val="308" w:hRule="atLeast"/>
        </w:trPr>
        <w:tc>
          <w:tcPr>
            <w:tcW w:w="1055" w:type="dxa"/>
            <w:gridSpan w:val="8"/>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48" w:type="dxa"/>
            <w:gridSpan w:val="1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81" w:type="dxa"/>
            <w:gridSpan w:val="8"/>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gridSpan w:val="10"/>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83" w:type="dxa"/>
            <w:gridSpan w:val="1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0"/>
          <w:wAfter w:w="2441" w:type="dxa"/>
          <w:trHeight w:val="308" w:hRule="atLeast"/>
        </w:trPr>
        <w:tc>
          <w:tcPr>
            <w:tcW w:w="4903" w:type="dxa"/>
            <w:gridSpan w:val="2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181"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80"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83"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gridAfter w:val="10"/>
          <w:wAfter w:w="2441" w:type="dxa"/>
          <w:trHeight w:val="308" w:hRule="atLeast"/>
        </w:trPr>
        <w:tc>
          <w:tcPr>
            <w:tcW w:w="4903" w:type="dxa"/>
            <w:gridSpan w:val="2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8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222.71</w:t>
            </w:r>
          </w:p>
        </w:tc>
        <w:tc>
          <w:tcPr>
            <w:tcW w:w="228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222.71</w:t>
            </w:r>
          </w:p>
        </w:tc>
        <w:tc>
          <w:tcPr>
            <w:tcW w:w="2183" w:type="dxa"/>
            <w:gridSpan w:val="1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0"/>
          <w:wAfter w:w="2441" w:type="dxa"/>
          <w:trHeight w:val="308" w:hRule="atLeast"/>
        </w:trPr>
        <w:tc>
          <w:tcPr>
            <w:tcW w:w="1055"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3848" w:type="dxa"/>
            <w:gridSpan w:val="1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218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221.71</w:t>
            </w:r>
          </w:p>
        </w:tc>
        <w:tc>
          <w:tcPr>
            <w:tcW w:w="228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221.71</w:t>
            </w:r>
          </w:p>
        </w:tc>
        <w:tc>
          <w:tcPr>
            <w:tcW w:w="2183" w:type="dxa"/>
            <w:gridSpan w:val="1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0"/>
          <w:wAfter w:w="2441" w:type="dxa"/>
          <w:trHeight w:val="308" w:hRule="atLeast"/>
        </w:trPr>
        <w:tc>
          <w:tcPr>
            <w:tcW w:w="1055"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3848" w:type="dxa"/>
            <w:gridSpan w:val="1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218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w:t>
            </w:r>
          </w:p>
        </w:tc>
        <w:tc>
          <w:tcPr>
            <w:tcW w:w="228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w:t>
            </w:r>
          </w:p>
        </w:tc>
        <w:tc>
          <w:tcPr>
            <w:tcW w:w="2183" w:type="dxa"/>
            <w:gridSpan w:val="1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0"/>
          <w:wAfter w:w="2441" w:type="dxa"/>
          <w:trHeight w:val="308" w:hRule="atLeast"/>
        </w:trPr>
        <w:tc>
          <w:tcPr>
            <w:tcW w:w="1055"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3848" w:type="dxa"/>
            <w:gridSpan w:val="1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18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156.60</w:t>
            </w:r>
          </w:p>
        </w:tc>
        <w:tc>
          <w:tcPr>
            <w:tcW w:w="228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156.60</w:t>
            </w:r>
          </w:p>
        </w:tc>
        <w:tc>
          <w:tcPr>
            <w:tcW w:w="2183" w:type="dxa"/>
            <w:gridSpan w:val="1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0"/>
          <w:wAfter w:w="2441" w:type="dxa"/>
          <w:trHeight w:val="308" w:hRule="atLeast"/>
        </w:trPr>
        <w:tc>
          <w:tcPr>
            <w:tcW w:w="1055"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2070108</w:t>
            </w:r>
          </w:p>
        </w:tc>
        <w:tc>
          <w:tcPr>
            <w:tcW w:w="3848" w:type="dxa"/>
            <w:gridSpan w:val="1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文化活动</w:t>
            </w:r>
          </w:p>
        </w:tc>
        <w:tc>
          <w:tcPr>
            <w:tcW w:w="218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228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2183" w:type="dxa"/>
            <w:gridSpan w:val="1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0"/>
          <w:wAfter w:w="2441" w:type="dxa"/>
          <w:trHeight w:val="308" w:hRule="atLeast"/>
        </w:trPr>
        <w:tc>
          <w:tcPr>
            <w:tcW w:w="1055"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3848" w:type="dxa"/>
            <w:gridSpan w:val="1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218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c>
          <w:tcPr>
            <w:tcW w:w="228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c>
          <w:tcPr>
            <w:tcW w:w="2183" w:type="dxa"/>
            <w:gridSpan w:val="1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0"/>
          <w:wAfter w:w="2441" w:type="dxa"/>
          <w:trHeight w:val="308" w:hRule="atLeast"/>
        </w:trPr>
        <w:tc>
          <w:tcPr>
            <w:tcW w:w="1055"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3848" w:type="dxa"/>
            <w:gridSpan w:val="1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其他文化体育与传媒支出</w:t>
            </w:r>
          </w:p>
        </w:tc>
        <w:tc>
          <w:tcPr>
            <w:tcW w:w="218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43.51</w:t>
            </w:r>
          </w:p>
        </w:tc>
        <w:tc>
          <w:tcPr>
            <w:tcW w:w="228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43.51</w:t>
            </w:r>
          </w:p>
        </w:tc>
        <w:tc>
          <w:tcPr>
            <w:tcW w:w="2183" w:type="dxa"/>
            <w:gridSpan w:val="1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0"/>
          <w:wAfter w:w="2441" w:type="dxa"/>
          <w:trHeight w:val="308" w:hRule="atLeast"/>
        </w:trPr>
        <w:tc>
          <w:tcPr>
            <w:tcW w:w="1055"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3848" w:type="dxa"/>
            <w:gridSpan w:val="1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218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43.51</w:t>
            </w:r>
          </w:p>
        </w:tc>
        <w:tc>
          <w:tcPr>
            <w:tcW w:w="228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43.51</w:t>
            </w:r>
          </w:p>
        </w:tc>
        <w:tc>
          <w:tcPr>
            <w:tcW w:w="2183" w:type="dxa"/>
            <w:gridSpan w:val="1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0"/>
          <w:wAfter w:w="2441" w:type="dxa"/>
          <w:trHeight w:val="308" w:hRule="atLeast"/>
        </w:trPr>
        <w:tc>
          <w:tcPr>
            <w:tcW w:w="1055"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848" w:type="dxa"/>
            <w:gridSpan w:val="1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218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28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83" w:type="dxa"/>
            <w:gridSpan w:val="1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0"/>
          <w:wAfter w:w="2441" w:type="dxa"/>
          <w:trHeight w:val="308" w:hRule="atLeast"/>
        </w:trPr>
        <w:tc>
          <w:tcPr>
            <w:tcW w:w="1055"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3848" w:type="dxa"/>
            <w:gridSpan w:val="1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218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28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83" w:type="dxa"/>
            <w:gridSpan w:val="1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0"/>
          <w:wAfter w:w="2441" w:type="dxa"/>
          <w:trHeight w:val="308" w:hRule="atLeast"/>
        </w:trPr>
        <w:tc>
          <w:tcPr>
            <w:tcW w:w="1055"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3848" w:type="dxa"/>
            <w:gridSpan w:val="1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218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28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83" w:type="dxa"/>
            <w:gridSpan w:val="1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0"/>
          <w:wAfter w:w="2441" w:type="dxa"/>
          <w:trHeight w:val="308" w:hRule="atLeast"/>
        </w:trPr>
        <w:tc>
          <w:tcPr>
            <w:tcW w:w="11547" w:type="dxa"/>
            <w:gridSpan w:val="5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r>
        <w:tblPrEx>
          <w:tblLayout w:type="fixed"/>
          <w:tblCellMar>
            <w:top w:w="0" w:type="dxa"/>
            <w:left w:w="0" w:type="dxa"/>
            <w:bottom w:w="0" w:type="dxa"/>
            <w:right w:w="0" w:type="dxa"/>
          </w:tblCellMar>
        </w:tblPrEx>
        <w:trPr>
          <w:gridAfter w:val="1"/>
          <w:wAfter w:w="182" w:type="dxa"/>
          <w:trHeight w:val="285" w:hRule="atLeast"/>
        </w:trPr>
        <w:tc>
          <w:tcPr>
            <w:tcW w:w="722" w:type="dxa"/>
            <w:gridSpan w:val="4"/>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11734" w:type="dxa"/>
            <w:gridSpan w:val="5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cs="宋体"/>
                <w:i w:val="0"/>
                <w:color w:val="000000"/>
                <w:kern w:val="0"/>
                <w:sz w:val="30"/>
                <w:szCs w:val="30"/>
                <w:u w:val="none"/>
                <w:lang w:val="en-US" w:eastAsia="zh-CN" w:bidi="ar"/>
              </w:rPr>
              <w:t>　　　　　　　　　</w:t>
            </w:r>
            <w:r>
              <w:rPr>
                <w:rFonts w:hint="eastAsia" w:ascii="宋体" w:hAnsi="宋体" w:eastAsia="宋体" w:cs="宋体"/>
                <w:i w:val="0"/>
                <w:color w:val="000000"/>
                <w:kern w:val="0"/>
                <w:sz w:val="30"/>
                <w:szCs w:val="30"/>
                <w:u w:val="none"/>
                <w:lang w:val="en-US" w:eastAsia="zh-CN" w:bidi="ar"/>
              </w:rPr>
              <w:t>一般公共预算财政拨款基本支出决算表</w:t>
            </w:r>
          </w:p>
        </w:tc>
        <w:tc>
          <w:tcPr>
            <w:tcW w:w="135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tblLayout w:type="fixed"/>
          <w:tblCellMar>
            <w:top w:w="0" w:type="dxa"/>
            <w:left w:w="0" w:type="dxa"/>
            <w:bottom w:w="0" w:type="dxa"/>
            <w:right w:w="0" w:type="dxa"/>
          </w:tblCellMar>
        </w:tblPrEx>
        <w:trPr>
          <w:gridAfter w:val="1"/>
          <w:wAfter w:w="182" w:type="dxa"/>
          <w:trHeight w:val="255" w:hRule="atLeast"/>
        </w:trPr>
        <w:tc>
          <w:tcPr>
            <w:tcW w:w="3466" w:type="dxa"/>
            <w:gridSpan w:val="1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cs="宋体"/>
                <w:i w:val="0"/>
                <w:color w:val="000000"/>
                <w:kern w:val="0"/>
                <w:sz w:val="20"/>
                <w:szCs w:val="20"/>
                <w:u w:val="none"/>
                <w:lang w:val="en-US" w:eastAsia="zh-CN" w:bidi="ar"/>
              </w:rPr>
              <w:t>洞口县文化馆</w:t>
            </w:r>
          </w:p>
        </w:tc>
        <w:tc>
          <w:tcPr>
            <w:tcW w:w="1519" w:type="dxa"/>
            <w:gridSpan w:val="8"/>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18"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336" w:type="dxa"/>
            <w:gridSpan w:val="8"/>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50"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17"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350" w:type="dxa"/>
            <w:gridSpan w:val="11"/>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5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Layout w:type="fixed"/>
          <w:tblCellMar>
            <w:top w:w="0" w:type="dxa"/>
            <w:left w:w="0" w:type="dxa"/>
            <w:bottom w:w="0" w:type="dxa"/>
            <w:right w:w="0" w:type="dxa"/>
          </w:tblCellMar>
        </w:tblPrEx>
        <w:trPr>
          <w:gridAfter w:val="1"/>
          <w:wAfter w:w="182" w:type="dxa"/>
          <w:trHeight w:val="308" w:hRule="atLeast"/>
        </w:trPr>
        <w:tc>
          <w:tcPr>
            <w:tcW w:w="4985" w:type="dxa"/>
            <w:gridSpan w:val="2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8821" w:type="dxa"/>
            <w:gridSpan w:val="38"/>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744" w:type="dxa"/>
            <w:gridSpan w:val="1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19" w:type="dxa"/>
            <w:gridSpan w:val="8"/>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18" w:type="dxa"/>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336" w:type="dxa"/>
            <w:gridSpan w:val="8"/>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50" w:type="dxa"/>
            <w:gridSpan w:val="6"/>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17" w:type="dxa"/>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350" w:type="dxa"/>
            <w:gridSpan w:val="11"/>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50" w:type="dxa"/>
            <w:gridSpan w:val="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4" w:type="dxa"/>
            <w:gridSpan w:val="1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9" w:type="dxa"/>
            <w:gridSpan w:val="8"/>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8"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36" w:type="dxa"/>
            <w:gridSpan w:val="8"/>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gridSpan w:val="6"/>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7"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0" w:type="dxa"/>
            <w:gridSpan w:val="11"/>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137.46</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18.81</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47.92</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8.62</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27.49</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15.96</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66.44</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22.93</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43.51</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82" w:type="dxa"/>
          <w:trHeight w:val="308" w:hRule="atLeast"/>
        </w:trPr>
        <w:tc>
          <w:tcPr>
            <w:tcW w:w="72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44" w:type="dxa"/>
            <w:gridSpan w:val="1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6"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3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50" w:type="dxa"/>
            <w:gridSpan w:val="11"/>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82" w:type="dxa"/>
          <w:trHeight w:val="308" w:hRule="atLeast"/>
        </w:trPr>
        <w:tc>
          <w:tcPr>
            <w:tcW w:w="3466" w:type="dxa"/>
            <w:gridSpan w:val="16"/>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519"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203.90</w:t>
            </w:r>
          </w:p>
        </w:tc>
        <w:tc>
          <w:tcPr>
            <w:tcW w:w="7471" w:type="dxa"/>
            <w:gridSpan w:val="3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3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18.81</w:t>
            </w:r>
          </w:p>
          <w:p>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gridAfter w:val="1"/>
          <w:wAfter w:w="182" w:type="dxa"/>
          <w:trHeight w:val="308" w:hRule="atLeast"/>
        </w:trPr>
        <w:tc>
          <w:tcPr>
            <w:tcW w:w="13806" w:type="dxa"/>
            <w:gridSpan w:val="6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r>
        <w:tblPrEx>
          <w:tblLayout w:type="fixed"/>
          <w:tblCellMar>
            <w:top w:w="0" w:type="dxa"/>
            <w:left w:w="0" w:type="dxa"/>
            <w:bottom w:w="0" w:type="dxa"/>
            <w:right w:w="0" w:type="dxa"/>
          </w:tblCellMar>
        </w:tblPrEx>
        <w:trPr>
          <w:gridAfter w:val="3"/>
          <w:wAfter w:w="314" w:type="dxa"/>
          <w:trHeight w:val="540" w:hRule="atLeast"/>
        </w:trPr>
        <w:tc>
          <w:tcPr>
            <w:tcW w:w="13674" w:type="dxa"/>
            <w:gridSpan w:val="60"/>
            <w:tcBorders>
              <w:top w:val="nil"/>
              <w:left w:val="nil"/>
              <w:bottom w:val="nil"/>
              <w:right w:val="nil"/>
            </w:tcBorders>
            <w:shd w:val="clear" w:color="auto" w:fill="auto"/>
            <w:tcMar>
              <w:top w:w="15" w:type="dxa"/>
              <w:left w:w="15" w:type="dxa"/>
              <w:right w:w="15" w:type="dxa"/>
            </w:tcMar>
            <w:vAlign w:val="center"/>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tblLayout w:type="fixed"/>
          <w:tblCellMar>
            <w:top w:w="0" w:type="dxa"/>
            <w:left w:w="0" w:type="dxa"/>
            <w:bottom w:w="0" w:type="dxa"/>
            <w:right w:w="0" w:type="dxa"/>
          </w:tblCellMar>
        </w:tblPrEx>
        <w:trPr>
          <w:gridAfter w:val="3"/>
          <w:wAfter w:w="314" w:type="dxa"/>
          <w:trHeight w:val="255" w:hRule="atLeast"/>
        </w:trPr>
        <w:tc>
          <w:tcPr>
            <w:tcW w:w="1398" w:type="dxa"/>
            <w:gridSpan w:val="11"/>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3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6"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28"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43" w:type="dxa"/>
            <w:gridSpan w:val="5"/>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18"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99" w:type="dxa"/>
            <w:gridSpan w:val="5"/>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1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3"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00"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01"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31"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Layout w:type="fixed"/>
          <w:tblCellMar>
            <w:top w:w="0" w:type="dxa"/>
            <w:left w:w="0" w:type="dxa"/>
            <w:bottom w:w="0" w:type="dxa"/>
            <w:right w:w="0" w:type="dxa"/>
          </w:tblCellMar>
        </w:tblPrEx>
        <w:trPr>
          <w:gridAfter w:val="3"/>
          <w:wAfter w:w="314" w:type="dxa"/>
          <w:trHeight w:val="255" w:hRule="atLeast"/>
        </w:trPr>
        <w:tc>
          <w:tcPr>
            <w:tcW w:w="2233" w:type="dxa"/>
            <w:gridSpan w:val="1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cs="宋体"/>
                <w:i w:val="0"/>
                <w:color w:val="000000"/>
                <w:kern w:val="0"/>
                <w:sz w:val="20"/>
                <w:szCs w:val="20"/>
                <w:u w:val="none"/>
                <w:lang w:val="en-US" w:eastAsia="zh-CN" w:bidi="ar"/>
              </w:rPr>
              <w:t>洞口县文化馆</w:t>
            </w:r>
          </w:p>
        </w:tc>
        <w:tc>
          <w:tcPr>
            <w:tcW w:w="906"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28"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43" w:type="dxa"/>
            <w:gridSpan w:val="5"/>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18"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99" w:type="dxa"/>
            <w:gridSpan w:val="5"/>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1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03"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00"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01"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31"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Layout w:type="fixed"/>
          <w:tblCellMar>
            <w:top w:w="0" w:type="dxa"/>
            <w:left w:w="0" w:type="dxa"/>
            <w:bottom w:w="0" w:type="dxa"/>
            <w:right w:w="0" w:type="dxa"/>
          </w:tblCellMar>
        </w:tblPrEx>
        <w:trPr>
          <w:gridAfter w:val="3"/>
          <w:wAfter w:w="314" w:type="dxa"/>
          <w:trHeight w:val="308" w:hRule="atLeast"/>
        </w:trPr>
        <w:tc>
          <w:tcPr>
            <w:tcW w:w="6128" w:type="dxa"/>
            <w:gridSpan w:val="29"/>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46" w:type="dxa"/>
            <w:gridSpan w:val="31"/>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gridAfter w:val="3"/>
          <w:wAfter w:w="314" w:type="dxa"/>
          <w:trHeight w:val="308" w:hRule="atLeast"/>
        </w:trPr>
        <w:tc>
          <w:tcPr>
            <w:tcW w:w="1398" w:type="dxa"/>
            <w:gridSpan w:val="11"/>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777" w:type="dxa"/>
            <w:gridSpan w:val="1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118" w:type="dxa"/>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399" w:type="dxa"/>
            <w:gridSpan w:val="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12"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04" w:type="dxa"/>
            <w:gridSpan w:val="19"/>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31" w:type="dxa"/>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Layout w:type="fixed"/>
          <w:tblCellMar>
            <w:top w:w="0" w:type="dxa"/>
            <w:left w:w="0" w:type="dxa"/>
            <w:bottom w:w="0" w:type="dxa"/>
            <w:right w:w="0" w:type="dxa"/>
          </w:tblCellMar>
        </w:tblPrEx>
        <w:trPr>
          <w:gridAfter w:val="3"/>
          <w:wAfter w:w="314" w:type="dxa"/>
          <w:trHeight w:val="615" w:hRule="atLeast"/>
        </w:trPr>
        <w:tc>
          <w:tcPr>
            <w:tcW w:w="1398" w:type="dxa"/>
            <w:gridSpan w:val="11"/>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6"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28"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04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118"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9"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2"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3"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00" w:type="dxa"/>
            <w:gridSpan w:val="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401"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31"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3"/>
          <w:wAfter w:w="314" w:type="dxa"/>
          <w:trHeight w:val="308" w:hRule="atLeast"/>
        </w:trPr>
        <w:tc>
          <w:tcPr>
            <w:tcW w:w="1398" w:type="dxa"/>
            <w:gridSpan w:val="11"/>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6"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28"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4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1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12"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03"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0" w:type="dxa"/>
            <w:gridSpan w:val="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1"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3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Layout w:type="fixed"/>
          <w:tblCellMar>
            <w:top w:w="0" w:type="dxa"/>
            <w:left w:w="0" w:type="dxa"/>
            <w:bottom w:w="0" w:type="dxa"/>
            <w:right w:w="0" w:type="dxa"/>
          </w:tblCellMar>
        </w:tblPrEx>
        <w:trPr>
          <w:gridAfter w:val="3"/>
          <w:wAfter w:w="314" w:type="dxa"/>
          <w:trHeight w:val="308" w:hRule="atLeast"/>
        </w:trPr>
        <w:tc>
          <w:tcPr>
            <w:tcW w:w="1398" w:type="dxa"/>
            <w:gridSpan w:val="11"/>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0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2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043"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18"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9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101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03"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0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01"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3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r>
      <w:tr>
        <w:tblPrEx>
          <w:tblLayout w:type="fixed"/>
          <w:tblCellMar>
            <w:top w:w="0" w:type="dxa"/>
            <w:left w:w="0" w:type="dxa"/>
            <w:bottom w:w="0" w:type="dxa"/>
            <w:right w:w="0" w:type="dxa"/>
          </w:tblCellMar>
        </w:tblPrEx>
        <w:trPr>
          <w:gridAfter w:val="3"/>
          <w:wAfter w:w="314" w:type="dxa"/>
          <w:trHeight w:val="615" w:hRule="atLeast"/>
        </w:trPr>
        <w:tc>
          <w:tcPr>
            <w:tcW w:w="13674" w:type="dxa"/>
            <w:gridSpan w:val="6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widowControl/>
        <w:spacing w:line="300" w:lineRule="exact"/>
        <w:rPr>
          <w:rFonts w:hint="eastAsia" w:ascii="Times New Roman" w:hAnsi="Times New Roman" w:eastAsia="仿宋_GB2312"/>
          <w:bCs/>
          <w:kern w:val="0"/>
          <w:sz w:val="28"/>
          <w:szCs w:val="28"/>
        </w:rPr>
      </w:pPr>
    </w:p>
    <w:tbl>
      <w:tblPr>
        <w:tblStyle w:val="8"/>
        <w:tblW w:w="124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
        <w:gridCol w:w="950"/>
        <w:gridCol w:w="950"/>
        <w:gridCol w:w="3894"/>
        <w:gridCol w:w="1459"/>
        <w:gridCol w:w="953"/>
        <w:gridCol w:w="951"/>
        <w:gridCol w:w="951"/>
        <w:gridCol w:w="953"/>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443" w:type="dxa"/>
            <w:gridSpan w:val="10"/>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　　　　　　　　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32" w:type="dxa"/>
            <w:shd w:val="clear" w:color="auto" w:fill="auto"/>
            <w:vAlign w:val="bottom"/>
          </w:tcPr>
          <w:p>
            <w:pPr>
              <w:rPr>
                <w:rFonts w:hint="default" w:ascii="Arial" w:hAnsi="Arial" w:cs="Arial"/>
                <w:i w:val="0"/>
                <w:color w:val="000000"/>
                <w:sz w:val="20"/>
                <w:szCs w:val="20"/>
                <w:u w:val="none"/>
              </w:rPr>
            </w:pPr>
          </w:p>
        </w:tc>
        <w:tc>
          <w:tcPr>
            <w:tcW w:w="950" w:type="dxa"/>
            <w:shd w:val="clear" w:color="auto" w:fill="auto"/>
            <w:vAlign w:val="bottom"/>
          </w:tcPr>
          <w:p>
            <w:pPr>
              <w:rPr>
                <w:rFonts w:hint="default" w:ascii="Arial" w:hAnsi="Arial" w:cs="Arial"/>
                <w:i w:val="0"/>
                <w:color w:val="000000"/>
                <w:sz w:val="20"/>
                <w:szCs w:val="20"/>
                <w:u w:val="none"/>
              </w:rPr>
            </w:pPr>
          </w:p>
        </w:tc>
        <w:tc>
          <w:tcPr>
            <w:tcW w:w="950" w:type="dxa"/>
            <w:shd w:val="clear" w:color="auto" w:fill="auto"/>
            <w:vAlign w:val="bottom"/>
          </w:tcPr>
          <w:p>
            <w:pPr>
              <w:rPr>
                <w:rFonts w:hint="default" w:ascii="Arial" w:hAnsi="Arial" w:cs="Arial"/>
                <w:i w:val="0"/>
                <w:color w:val="000000"/>
                <w:sz w:val="20"/>
                <w:szCs w:val="20"/>
                <w:u w:val="none"/>
              </w:rPr>
            </w:pPr>
          </w:p>
        </w:tc>
        <w:tc>
          <w:tcPr>
            <w:tcW w:w="3894" w:type="dxa"/>
            <w:shd w:val="clear" w:color="auto" w:fill="auto"/>
            <w:vAlign w:val="bottom"/>
          </w:tcPr>
          <w:p>
            <w:pPr>
              <w:rPr>
                <w:rFonts w:hint="default" w:ascii="Arial" w:hAnsi="Arial" w:cs="Arial"/>
                <w:i w:val="0"/>
                <w:color w:val="000000"/>
                <w:sz w:val="20"/>
                <w:szCs w:val="20"/>
                <w:u w:val="none"/>
              </w:rPr>
            </w:pPr>
          </w:p>
        </w:tc>
        <w:tc>
          <w:tcPr>
            <w:tcW w:w="1459" w:type="dxa"/>
            <w:shd w:val="clear" w:color="auto" w:fill="auto"/>
            <w:vAlign w:val="bottom"/>
          </w:tcPr>
          <w:p>
            <w:pPr>
              <w:rPr>
                <w:rFonts w:hint="default" w:ascii="Arial" w:hAnsi="Arial" w:cs="Arial"/>
                <w:i w:val="0"/>
                <w:color w:val="000000"/>
                <w:sz w:val="20"/>
                <w:szCs w:val="20"/>
                <w:u w:val="none"/>
              </w:rPr>
            </w:pPr>
          </w:p>
        </w:tc>
        <w:tc>
          <w:tcPr>
            <w:tcW w:w="953" w:type="dxa"/>
            <w:shd w:val="clear" w:color="auto" w:fill="auto"/>
            <w:vAlign w:val="bottom"/>
          </w:tcPr>
          <w:p>
            <w:pPr>
              <w:rPr>
                <w:rFonts w:hint="default" w:ascii="Arial" w:hAnsi="Arial" w:cs="Arial"/>
                <w:i w:val="0"/>
                <w:color w:val="000000"/>
                <w:sz w:val="20"/>
                <w:szCs w:val="20"/>
                <w:u w:val="none"/>
              </w:rPr>
            </w:pPr>
          </w:p>
        </w:tc>
        <w:tc>
          <w:tcPr>
            <w:tcW w:w="951" w:type="dxa"/>
            <w:shd w:val="clear" w:color="auto" w:fill="auto"/>
            <w:vAlign w:val="bottom"/>
          </w:tcPr>
          <w:p>
            <w:pPr>
              <w:rPr>
                <w:rFonts w:hint="default" w:ascii="Arial" w:hAnsi="Arial" w:cs="Arial"/>
                <w:i w:val="0"/>
                <w:color w:val="000000"/>
                <w:sz w:val="20"/>
                <w:szCs w:val="20"/>
                <w:u w:val="none"/>
              </w:rPr>
            </w:pPr>
          </w:p>
        </w:tc>
        <w:tc>
          <w:tcPr>
            <w:tcW w:w="951" w:type="dxa"/>
            <w:shd w:val="clear" w:color="auto" w:fill="auto"/>
            <w:vAlign w:val="bottom"/>
          </w:tcPr>
          <w:p>
            <w:pPr>
              <w:rPr>
                <w:rFonts w:hint="default" w:ascii="Arial" w:hAnsi="Arial" w:cs="Arial"/>
                <w:i w:val="0"/>
                <w:color w:val="000000"/>
                <w:sz w:val="20"/>
                <w:szCs w:val="20"/>
                <w:u w:val="none"/>
              </w:rPr>
            </w:pPr>
          </w:p>
        </w:tc>
        <w:tc>
          <w:tcPr>
            <w:tcW w:w="953" w:type="dxa"/>
            <w:shd w:val="clear" w:color="auto" w:fill="auto"/>
            <w:vAlign w:val="bottom"/>
          </w:tcPr>
          <w:p>
            <w:pPr>
              <w:rPr>
                <w:rFonts w:hint="default" w:ascii="Arial" w:hAnsi="Arial" w:cs="Arial"/>
                <w:i w:val="0"/>
                <w:color w:val="000000"/>
                <w:sz w:val="20"/>
                <w:szCs w:val="20"/>
                <w:u w:val="none"/>
              </w:rPr>
            </w:pPr>
          </w:p>
        </w:tc>
        <w:tc>
          <w:tcPr>
            <w:tcW w:w="95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332" w:type="dxa"/>
            <w:gridSpan w:val="3"/>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cs="宋体"/>
                <w:i w:val="0"/>
                <w:color w:val="000000"/>
                <w:kern w:val="0"/>
                <w:sz w:val="20"/>
                <w:szCs w:val="20"/>
                <w:u w:val="none"/>
                <w:lang w:val="en-US" w:eastAsia="zh-CN" w:bidi="ar"/>
              </w:rPr>
              <w:t>洞口县文化馆</w:t>
            </w:r>
          </w:p>
        </w:tc>
        <w:tc>
          <w:tcPr>
            <w:tcW w:w="3894" w:type="dxa"/>
            <w:shd w:val="clear" w:color="auto" w:fill="auto"/>
            <w:vAlign w:val="bottom"/>
          </w:tcPr>
          <w:p>
            <w:pPr>
              <w:rPr>
                <w:rFonts w:hint="default" w:ascii="Arial" w:hAnsi="Arial" w:cs="Arial"/>
                <w:i w:val="0"/>
                <w:color w:val="000000"/>
                <w:sz w:val="20"/>
                <w:szCs w:val="20"/>
                <w:u w:val="none"/>
              </w:rPr>
            </w:pPr>
          </w:p>
        </w:tc>
        <w:tc>
          <w:tcPr>
            <w:tcW w:w="1459" w:type="dxa"/>
            <w:shd w:val="clear" w:color="auto" w:fill="auto"/>
            <w:vAlign w:val="bottom"/>
          </w:tcPr>
          <w:p>
            <w:pPr>
              <w:rPr>
                <w:rFonts w:hint="default" w:ascii="Arial" w:hAnsi="Arial" w:cs="Arial"/>
                <w:i w:val="0"/>
                <w:color w:val="000000"/>
                <w:sz w:val="20"/>
                <w:szCs w:val="20"/>
                <w:u w:val="none"/>
              </w:rPr>
            </w:pPr>
          </w:p>
        </w:tc>
        <w:tc>
          <w:tcPr>
            <w:tcW w:w="953" w:type="dxa"/>
            <w:shd w:val="clear" w:color="auto" w:fill="auto"/>
            <w:vAlign w:val="bottom"/>
          </w:tcPr>
          <w:p>
            <w:pPr>
              <w:rPr>
                <w:rFonts w:hint="default" w:ascii="Arial" w:hAnsi="Arial" w:cs="Arial"/>
                <w:i w:val="0"/>
                <w:color w:val="000000"/>
                <w:sz w:val="20"/>
                <w:szCs w:val="20"/>
                <w:u w:val="none"/>
              </w:rPr>
            </w:pPr>
          </w:p>
        </w:tc>
        <w:tc>
          <w:tcPr>
            <w:tcW w:w="951" w:type="dxa"/>
            <w:shd w:val="clear" w:color="auto" w:fill="auto"/>
            <w:vAlign w:val="bottom"/>
          </w:tcPr>
          <w:p>
            <w:pPr>
              <w:rPr>
                <w:rFonts w:hint="default" w:ascii="Arial" w:hAnsi="Arial" w:cs="Arial"/>
                <w:i w:val="0"/>
                <w:color w:val="000000"/>
                <w:sz w:val="20"/>
                <w:szCs w:val="20"/>
                <w:u w:val="none"/>
              </w:rPr>
            </w:pPr>
          </w:p>
        </w:tc>
        <w:tc>
          <w:tcPr>
            <w:tcW w:w="951" w:type="dxa"/>
            <w:shd w:val="clear" w:color="auto" w:fill="auto"/>
            <w:vAlign w:val="bottom"/>
          </w:tcPr>
          <w:p>
            <w:pPr>
              <w:rPr>
                <w:rFonts w:hint="default" w:ascii="Arial" w:hAnsi="Arial" w:cs="Arial"/>
                <w:i w:val="0"/>
                <w:color w:val="000000"/>
                <w:sz w:val="20"/>
                <w:szCs w:val="20"/>
                <w:u w:val="none"/>
              </w:rPr>
            </w:pPr>
          </w:p>
        </w:tc>
        <w:tc>
          <w:tcPr>
            <w:tcW w:w="1903"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2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953"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855"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95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2" w:type="dxa"/>
            <w:gridSpan w:val="3"/>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89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1"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51"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53"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5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2"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89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2"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89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5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226"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5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5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5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226"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32"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89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32"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89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32"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89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32"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89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32"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89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32"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89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2443"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widowControl/>
        <w:spacing w:line="300" w:lineRule="exact"/>
        <w:rPr>
          <w:rFonts w:hint="eastAsia" w:ascii="Times New Roman" w:hAnsi="Times New Roman" w:eastAsia="黑体"/>
          <w:bCs/>
          <w:kern w:val="0"/>
          <w:sz w:val="28"/>
          <w:szCs w:val="28"/>
        </w:rPr>
      </w:pPr>
    </w:p>
    <w:p>
      <w:pPr>
        <w:widowControl/>
        <w:spacing w:line="600" w:lineRule="exact"/>
        <w:jc w:val="center"/>
        <w:rPr>
          <w:rFonts w:hint="eastAsia" w:ascii="黑体" w:eastAsia="黑体" w:cs="黑体"/>
          <w:color w:val="000000"/>
          <w:kern w:val="0"/>
          <w:sz w:val="70"/>
          <w:szCs w:val="70"/>
        </w:rPr>
      </w:pPr>
      <w:r>
        <w:rPr>
          <w:rFonts w:hint="eastAsia" w:eastAsia="方正小标宋_GBK"/>
          <w:bCs/>
          <w:kern w:val="0"/>
          <w:sz w:val="36"/>
          <w:szCs w:val="36"/>
        </w:rPr>
        <w:t xml:space="preserve">第三部分 </w:t>
      </w:r>
      <w:r>
        <w:rPr>
          <w:rFonts w:hint="eastAsia" w:eastAsia="仿宋_GB2312"/>
          <w:b/>
          <w:bCs/>
          <w:kern w:val="0"/>
          <w:sz w:val="32"/>
          <w:szCs w:val="32"/>
          <w:lang w:val="en-US" w:eastAsia="zh-CN"/>
        </w:rPr>
        <w:t>2019</w:t>
      </w:r>
      <w:r>
        <w:rPr>
          <w:rFonts w:hint="eastAsia" w:eastAsia="方正小标宋_GBK"/>
          <w:bCs/>
          <w:kern w:val="0"/>
          <w:sz w:val="36"/>
          <w:szCs w:val="36"/>
        </w:rPr>
        <w:t>年度部门决算情况说明</w:t>
      </w:r>
    </w:p>
    <w:p>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一、收入支出决算总体情况说明</w:t>
      </w:r>
    </w:p>
    <w:p>
      <w:pPr>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2019</w:t>
      </w:r>
      <w:r>
        <w:rPr>
          <w:rFonts w:hint="eastAsia" w:ascii="Times New Roman" w:hAnsi="Times New Roman" w:eastAsia="仿宋_GB2312" w:cs="Times New Roman"/>
          <w:bCs/>
          <w:color w:val="auto"/>
          <w:sz w:val="32"/>
          <w:szCs w:val="32"/>
        </w:rPr>
        <w:t>年度</w:t>
      </w:r>
      <w:r>
        <w:rPr>
          <w:rFonts w:ascii="Times New Roman" w:hAnsi="Times New Roman" w:eastAsia="仿宋_GB2312" w:cs="Times New Roman"/>
          <w:color w:val="auto"/>
          <w:sz w:val="32"/>
          <w:szCs w:val="32"/>
        </w:rPr>
        <w:t>收、支总</w:t>
      </w:r>
      <w:r>
        <w:rPr>
          <w:rFonts w:hint="eastAsia" w:ascii="Times New Roman" w:hAnsi="Times New Roman" w:eastAsia="仿宋_GB2312" w:cs="Times New Roman"/>
          <w:color w:val="auto"/>
          <w:sz w:val="32"/>
          <w:szCs w:val="32"/>
          <w:lang w:eastAsia="zh-CN"/>
        </w:rPr>
        <w:t>计</w:t>
      </w:r>
      <w:r>
        <w:rPr>
          <w:rFonts w:hint="eastAsia" w:ascii="Times New Roman" w:hAnsi="Times New Roman" w:eastAsia="仿宋_GB2312" w:cs="Times New Roman"/>
          <w:color w:val="auto"/>
          <w:sz w:val="32"/>
          <w:szCs w:val="32"/>
          <w:lang w:val="en-US" w:eastAsia="zh-CN"/>
        </w:rPr>
        <w:t>222.71</w:t>
      </w:r>
      <w:r>
        <w:rPr>
          <w:rFonts w:ascii="Times New Roman" w:hAnsi="Times New Roman" w:eastAsia="仿宋_GB2312" w:cs="Times New Roman"/>
          <w:color w:val="auto"/>
          <w:sz w:val="32"/>
          <w:szCs w:val="32"/>
        </w:rPr>
        <w:t>万元。与2018年相比，增加</w:t>
      </w:r>
      <w:r>
        <w:rPr>
          <w:rFonts w:hint="eastAsia" w:ascii="Times New Roman" w:hAnsi="Times New Roman" w:eastAsia="仿宋_GB2312" w:cs="Times New Roman"/>
          <w:color w:val="auto"/>
          <w:sz w:val="32"/>
          <w:szCs w:val="32"/>
          <w:lang w:val="en-US" w:eastAsia="zh-CN"/>
        </w:rPr>
        <w:t>66.6</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 xml:space="preserve">42.66 </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val="en-US" w:eastAsia="zh-CN"/>
        </w:rPr>
        <w:t>2019年增加2名在职人员引起的</w:t>
      </w:r>
      <w:r>
        <w:rPr>
          <w:rFonts w:hint="eastAsia" w:ascii="Times New Roman" w:hAnsi="Times New Roman" w:eastAsia="仿宋_GB2312" w:cs="Times New Roman"/>
          <w:color w:val="auto"/>
          <w:sz w:val="32"/>
          <w:szCs w:val="32"/>
          <w:lang w:eastAsia="zh-CN"/>
        </w:rPr>
        <w:t>人员经费和公用经费的</w:t>
      </w:r>
      <w:r>
        <w:rPr>
          <w:rFonts w:hint="eastAsia" w:ascii="Times New Roman" w:hAnsi="Times New Roman" w:eastAsia="仿宋_GB2312" w:cs="Times New Roman"/>
          <w:color w:val="auto"/>
          <w:sz w:val="32"/>
          <w:szCs w:val="32"/>
        </w:rPr>
        <w:t>增加</w:t>
      </w:r>
      <w:r>
        <w:rPr>
          <w:rFonts w:hint="eastAsia" w:ascii="Times New Roman" w:hAnsi="Times New Roman" w:eastAsia="仿宋_GB2312" w:cs="Times New Roman"/>
          <w:color w:val="auto"/>
          <w:sz w:val="32"/>
          <w:szCs w:val="32"/>
          <w:lang w:eastAsia="zh-CN"/>
        </w:rPr>
        <w:t>和退休人员生活补助经费的增加</w:t>
      </w:r>
      <w:r>
        <w:rPr>
          <w:rFonts w:hint="eastAsia" w:ascii="Times New Roman" w:hAnsi="Times New Roman" w:eastAsia="仿宋_GB2312" w:cs="Times New Roman"/>
          <w:color w:val="auto"/>
          <w:sz w:val="32"/>
          <w:szCs w:val="32"/>
        </w:rPr>
        <w:t>。</w:t>
      </w:r>
    </w:p>
    <w:p>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二、收入决算情况说明</w:t>
      </w:r>
    </w:p>
    <w:p>
      <w:pPr>
        <w:pStyle w:val="12"/>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本年收入合</w:t>
      </w:r>
      <w:r>
        <w:rPr>
          <w:rFonts w:hint="eastAsia" w:ascii="Times New Roman" w:hAnsi="Times New Roman" w:eastAsia="仿宋_GB2312" w:cs="Times New Roman"/>
          <w:color w:val="auto"/>
          <w:sz w:val="32"/>
          <w:szCs w:val="32"/>
          <w:lang w:eastAsia="zh-CN"/>
        </w:rPr>
        <w:t>计</w:t>
      </w:r>
      <w:r>
        <w:rPr>
          <w:rFonts w:hint="eastAsia" w:ascii="Times New Roman" w:hAnsi="Times New Roman" w:eastAsia="仿宋_GB2312" w:cs="Times New Roman"/>
          <w:color w:val="auto"/>
          <w:sz w:val="32"/>
          <w:szCs w:val="32"/>
          <w:lang w:val="en-US" w:eastAsia="zh-CN"/>
        </w:rPr>
        <w:t>222.71</w:t>
      </w:r>
      <w:r>
        <w:rPr>
          <w:rFonts w:ascii="Times New Roman" w:hAnsi="Times New Roman" w:eastAsia="仿宋_GB2312" w:cs="Times New Roman"/>
          <w:color w:val="auto"/>
          <w:sz w:val="32"/>
          <w:szCs w:val="32"/>
        </w:rPr>
        <w:t>万元，其中：财政拨款收</w:t>
      </w:r>
      <w:r>
        <w:rPr>
          <w:rFonts w:hint="eastAsia" w:ascii="Times New Roman" w:hAnsi="Times New Roman" w:eastAsia="仿宋_GB2312" w:cs="Times New Roman"/>
          <w:color w:val="auto"/>
          <w:sz w:val="32"/>
          <w:szCs w:val="32"/>
          <w:lang w:eastAsia="zh-CN"/>
        </w:rPr>
        <w:t>入</w:t>
      </w:r>
      <w:r>
        <w:rPr>
          <w:rFonts w:hint="eastAsia" w:ascii="Times New Roman" w:hAnsi="Times New Roman" w:eastAsia="仿宋_GB2312" w:cs="Times New Roman"/>
          <w:color w:val="auto"/>
          <w:sz w:val="32"/>
          <w:szCs w:val="32"/>
          <w:lang w:val="en-US" w:eastAsia="zh-CN"/>
        </w:rPr>
        <w:t>222.71</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%；上级补助收</w:t>
      </w:r>
      <w:r>
        <w:rPr>
          <w:rFonts w:hint="eastAsia" w:ascii="Times New Roman" w:hAnsi="Times New Roman" w:eastAsia="仿宋_GB2312" w:cs="Times New Roman"/>
          <w:color w:val="auto"/>
          <w:sz w:val="32"/>
          <w:szCs w:val="32"/>
          <w:lang w:eastAsia="zh-CN"/>
        </w:rPr>
        <w:t>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%；事业收</w:t>
      </w:r>
      <w:r>
        <w:rPr>
          <w:rFonts w:hint="eastAsia" w:ascii="Times New Roman" w:hAnsi="Times New Roman" w:eastAsia="仿宋_GB2312" w:cs="Times New Roman"/>
          <w:color w:val="auto"/>
          <w:sz w:val="32"/>
          <w:szCs w:val="32"/>
          <w:lang w:eastAsia="zh-CN"/>
        </w:rPr>
        <w:t>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%；经营收</w:t>
      </w:r>
      <w:r>
        <w:rPr>
          <w:rFonts w:hint="eastAsia" w:ascii="Times New Roman" w:hAnsi="Times New Roman" w:eastAsia="仿宋_GB2312" w:cs="Times New Roman"/>
          <w:color w:val="auto"/>
          <w:sz w:val="32"/>
          <w:szCs w:val="32"/>
          <w:lang w:eastAsia="zh-CN"/>
        </w:rPr>
        <w:t>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%；附属单位上缴收</w:t>
      </w:r>
      <w:r>
        <w:rPr>
          <w:rFonts w:hint="eastAsia" w:ascii="Times New Roman" w:hAnsi="Times New Roman" w:eastAsia="仿宋_GB2312" w:cs="Times New Roman"/>
          <w:color w:val="auto"/>
          <w:sz w:val="32"/>
          <w:szCs w:val="32"/>
          <w:lang w:eastAsia="zh-CN"/>
        </w:rPr>
        <w:t>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%；其他收</w:t>
      </w:r>
      <w:r>
        <w:rPr>
          <w:rFonts w:hint="eastAsia" w:ascii="Times New Roman" w:hAnsi="Times New Roman" w:eastAsia="仿宋_GB2312" w:cs="Times New Roman"/>
          <w:color w:val="auto"/>
          <w:sz w:val="32"/>
          <w:szCs w:val="32"/>
          <w:lang w:eastAsia="zh-CN"/>
        </w:rPr>
        <w:t>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三、支出决算情况说明</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本年支出合</w:t>
      </w:r>
      <w:r>
        <w:rPr>
          <w:rFonts w:hint="eastAsia" w:ascii="Times New Roman" w:hAnsi="Times New Roman" w:eastAsia="仿宋_GB2312" w:cs="Times New Roman"/>
          <w:color w:val="auto"/>
          <w:sz w:val="32"/>
          <w:szCs w:val="32"/>
          <w:lang w:eastAsia="zh-CN"/>
        </w:rPr>
        <w:t>计</w:t>
      </w:r>
      <w:r>
        <w:rPr>
          <w:rFonts w:hint="eastAsia" w:ascii="Times New Roman" w:hAnsi="Times New Roman" w:eastAsia="仿宋_GB2312" w:cs="Times New Roman"/>
          <w:color w:val="auto"/>
          <w:sz w:val="32"/>
          <w:szCs w:val="32"/>
          <w:lang w:val="en-US" w:eastAsia="zh-CN"/>
        </w:rPr>
        <w:t>222.71</w:t>
      </w:r>
      <w:r>
        <w:rPr>
          <w:rFonts w:ascii="Times New Roman" w:hAnsi="Times New Roman" w:eastAsia="仿宋_GB2312" w:cs="Times New Roman"/>
          <w:color w:val="auto"/>
          <w:sz w:val="32"/>
          <w:szCs w:val="32"/>
        </w:rPr>
        <w:t>万元，其中：基本支</w:t>
      </w:r>
      <w:r>
        <w:rPr>
          <w:rFonts w:hint="eastAsia" w:ascii="Times New Roman" w:hAnsi="Times New Roman" w:eastAsia="仿宋_GB2312" w:cs="Times New Roman"/>
          <w:color w:val="auto"/>
          <w:sz w:val="32"/>
          <w:szCs w:val="32"/>
          <w:lang w:eastAsia="zh-CN"/>
        </w:rPr>
        <w:t>出</w:t>
      </w:r>
      <w:r>
        <w:rPr>
          <w:rFonts w:hint="eastAsia" w:ascii="Times New Roman" w:hAnsi="Times New Roman" w:eastAsia="仿宋_GB2312" w:cs="Times New Roman"/>
          <w:color w:val="auto"/>
          <w:sz w:val="32"/>
          <w:szCs w:val="32"/>
          <w:lang w:val="en-US" w:eastAsia="zh-CN"/>
        </w:rPr>
        <w:t>222.71</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%；项目支</w:t>
      </w:r>
      <w:r>
        <w:rPr>
          <w:rFonts w:hint="eastAsia" w:ascii="Times New Roman" w:hAnsi="Times New Roman" w:eastAsia="仿宋_GB2312" w:cs="Times New Roman"/>
          <w:color w:val="auto"/>
          <w:sz w:val="32"/>
          <w:szCs w:val="32"/>
          <w:lang w:eastAsia="zh-CN"/>
        </w:rPr>
        <w:t>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%；上缴上级支</w:t>
      </w:r>
      <w:r>
        <w:rPr>
          <w:rFonts w:hint="eastAsia" w:ascii="Times New Roman" w:hAnsi="Times New Roman" w:eastAsia="仿宋_GB2312" w:cs="Times New Roman"/>
          <w:color w:val="auto"/>
          <w:sz w:val="32"/>
          <w:szCs w:val="32"/>
          <w:lang w:eastAsia="zh-CN"/>
        </w:rPr>
        <w:t>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%；经营支</w:t>
      </w:r>
      <w:r>
        <w:rPr>
          <w:rFonts w:hint="eastAsia" w:ascii="Times New Roman" w:hAnsi="Times New Roman" w:eastAsia="仿宋_GB2312" w:cs="Times New Roman"/>
          <w:color w:val="auto"/>
          <w:sz w:val="32"/>
          <w:szCs w:val="32"/>
          <w:lang w:eastAsia="zh-CN"/>
        </w:rPr>
        <w:t>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%；对附属单位补助支</w:t>
      </w:r>
      <w:r>
        <w:rPr>
          <w:rFonts w:hint="eastAsia" w:ascii="Times New Roman" w:hAnsi="Times New Roman" w:eastAsia="仿宋_GB2312" w:cs="Times New Roman"/>
          <w:color w:val="auto"/>
          <w:sz w:val="32"/>
          <w:szCs w:val="32"/>
          <w:lang w:eastAsia="zh-CN"/>
        </w:rPr>
        <w:t>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四、财政拨款收入支出决算总体情况说明</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2019</w:t>
      </w:r>
      <w:r>
        <w:rPr>
          <w:rFonts w:ascii="Times New Roman" w:hAnsi="Times New Roman" w:eastAsia="仿宋_GB2312" w:cs="Times New Roman"/>
          <w:color w:val="auto"/>
          <w:sz w:val="32"/>
          <w:szCs w:val="32"/>
        </w:rPr>
        <w:t>年度财政拨款收、支总</w:t>
      </w:r>
      <w:r>
        <w:rPr>
          <w:rFonts w:hint="eastAsia" w:ascii="Times New Roman" w:hAnsi="Times New Roman" w:eastAsia="仿宋_GB2312" w:cs="Times New Roman"/>
          <w:color w:val="auto"/>
          <w:sz w:val="32"/>
          <w:szCs w:val="32"/>
          <w:lang w:eastAsia="zh-CN"/>
        </w:rPr>
        <w:t>计</w:t>
      </w:r>
      <w:r>
        <w:rPr>
          <w:rFonts w:hint="eastAsia" w:ascii="Times New Roman" w:hAnsi="Times New Roman" w:eastAsia="仿宋_GB2312" w:cs="Times New Roman"/>
          <w:color w:val="auto"/>
          <w:sz w:val="32"/>
          <w:szCs w:val="32"/>
          <w:lang w:val="en-US" w:eastAsia="zh-CN"/>
        </w:rPr>
        <w:t>222.71</w:t>
      </w:r>
      <w:r>
        <w:rPr>
          <w:rFonts w:ascii="Times New Roman" w:hAnsi="Times New Roman" w:eastAsia="仿宋_GB2312" w:cs="Times New Roman"/>
          <w:color w:val="auto"/>
          <w:sz w:val="32"/>
          <w:szCs w:val="32"/>
        </w:rPr>
        <w:t>万元，与2018年相比，增加</w:t>
      </w:r>
      <w:r>
        <w:rPr>
          <w:rFonts w:hint="eastAsia" w:ascii="Times New Roman" w:hAnsi="Times New Roman" w:eastAsia="仿宋_GB2312" w:cs="Times New Roman"/>
          <w:color w:val="auto"/>
          <w:sz w:val="32"/>
          <w:szCs w:val="32"/>
          <w:lang w:val="en-US" w:eastAsia="zh-CN"/>
        </w:rPr>
        <w:t>66.6</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42.66</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val="en-US" w:eastAsia="zh-CN"/>
        </w:rPr>
        <w:t>增加2名在职人员引起的</w:t>
      </w:r>
      <w:r>
        <w:rPr>
          <w:rFonts w:hint="eastAsia" w:ascii="Times New Roman" w:hAnsi="Times New Roman" w:eastAsia="仿宋_GB2312" w:cs="Times New Roman"/>
          <w:color w:val="auto"/>
          <w:sz w:val="32"/>
          <w:szCs w:val="32"/>
          <w:lang w:eastAsia="zh-CN"/>
        </w:rPr>
        <w:t>人员经费和公用经费的</w:t>
      </w:r>
      <w:r>
        <w:rPr>
          <w:rFonts w:hint="eastAsia" w:ascii="Times New Roman" w:hAnsi="Times New Roman" w:eastAsia="仿宋_GB2312" w:cs="Times New Roman"/>
          <w:color w:val="auto"/>
          <w:sz w:val="32"/>
          <w:szCs w:val="32"/>
        </w:rPr>
        <w:t>增加</w:t>
      </w:r>
      <w:r>
        <w:rPr>
          <w:rFonts w:hint="eastAsia" w:ascii="Times New Roman" w:hAnsi="Times New Roman" w:eastAsia="仿宋_GB2312" w:cs="Times New Roman"/>
          <w:color w:val="auto"/>
          <w:sz w:val="32"/>
          <w:szCs w:val="32"/>
          <w:lang w:eastAsia="zh-CN"/>
        </w:rPr>
        <w:t>和退休人员生活补助经费的增加</w:t>
      </w:r>
      <w:r>
        <w:rPr>
          <w:rFonts w:hint="eastAsia" w:ascii="Times New Roman" w:hAnsi="Times New Roman" w:eastAsia="仿宋_GB2312" w:cs="Times New Roman"/>
          <w:color w:val="auto"/>
          <w:sz w:val="32"/>
          <w:szCs w:val="32"/>
        </w:rPr>
        <w:t>。</w:t>
      </w:r>
    </w:p>
    <w:p>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五、一般公共预算财政拨款支出决算情况说明</w:t>
      </w:r>
    </w:p>
    <w:p>
      <w:pPr>
        <w:pStyle w:val="12"/>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（一）财政拨款支出决算总体情况</w:t>
      </w:r>
    </w:p>
    <w:p>
      <w:pPr>
        <w:pStyle w:val="12"/>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2019</w:t>
      </w:r>
      <w:r>
        <w:rPr>
          <w:rFonts w:ascii="Times New Roman" w:hAnsi="Times New Roman" w:eastAsia="仿宋_GB2312" w:cs="Times New Roman"/>
          <w:color w:val="auto"/>
          <w:sz w:val="32"/>
          <w:szCs w:val="32"/>
        </w:rPr>
        <w:t>年度财政拨款支</w:t>
      </w:r>
      <w:r>
        <w:rPr>
          <w:rFonts w:hint="eastAsia" w:ascii="Times New Roman" w:hAnsi="Times New Roman" w:eastAsia="仿宋_GB2312" w:cs="Times New Roman"/>
          <w:color w:val="auto"/>
          <w:sz w:val="32"/>
          <w:szCs w:val="32"/>
          <w:lang w:eastAsia="zh-CN"/>
        </w:rPr>
        <w:t>出</w:t>
      </w:r>
      <w:r>
        <w:rPr>
          <w:rFonts w:hint="eastAsia" w:ascii="Times New Roman" w:hAnsi="Times New Roman" w:eastAsia="仿宋_GB2312" w:cs="Times New Roman"/>
          <w:color w:val="auto"/>
          <w:sz w:val="32"/>
          <w:szCs w:val="32"/>
          <w:lang w:val="en-US" w:eastAsia="zh-CN"/>
        </w:rPr>
        <w:t>222.71</w:t>
      </w:r>
      <w:r>
        <w:rPr>
          <w:rFonts w:ascii="Times New Roman" w:hAnsi="Times New Roman" w:eastAsia="仿宋_GB2312" w:cs="Times New Roman"/>
          <w:color w:val="auto"/>
          <w:sz w:val="32"/>
          <w:szCs w:val="32"/>
        </w:rPr>
        <w:t>万元，占本年支出合计</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%，与2018年相比，财政拨款支出增加</w:t>
      </w:r>
      <w:r>
        <w:rPr>
          <w:rFonts w:hint="eastAsia" w:ascii="Times New Roman" w:hAnsi="Times New Roman" w:eastAsia="仿宋_GB2312" w:cs="Times New Roman"/>
          <w:color w:val="auto"/>
          <w:sz w:val="32"/>
          <w:szCs w:val="32"/>
          <w:lang w:val="en-US" w:eastAsia="zh-CN"/>
        </w:rPr>
        <w:t>66.6</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42.6</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val="en-US" w:eastAsia="zh-CN"/>
        </w:rPr>
        <w:t>增加2名在职人员引起的</w:t>
      </w:r>
      <w:r>
        <w:rPr>
          <w:rFonts w:hint="eastAsia" w:ascii="Times New Roman" w:hAnsi="Times New Roman" w:eastAsia="仿宋_GB2312" w:cs="Times New Roman"/>
          <w:color w:val="auto"/>
          <w:sz w:val="32"/>
          <w:szCs w:val="32"/>
          <w:lang w:eastAsia="zh-CN"/>
        </w:rPr>
        <w:t>人员经费和公用经费的</w:t>
      </w:r>
      <w:r>
        <w:rPr>
          <w:rFonts w:hint="eastAsia" w:ascii="Times New Roman" w:hAnsi="Times New Roman" w:eastAsia="仿宋_GB2312" w:cs="Times New Roman"/>
          <w:color w:val="auto"/>
          <w:sz w:val="32"/>
          <w:szCs w:val="32"/>
        </w:rPr>
        <w:t>增加</w:t>
      </w:r>
      <w:r>
        <w:rPr>
          <w:rFonts w:hint="eastAsia" w:ascii="Times New Roman" w:hAnsi="Times New Roman" w:eastAsia="仿宋_GB2312" w:cs="Times New Roman"/>
          <w:color w:val="auto"/>
          <w:sz w:val="32"/>
          <w:szCs w:val="32"/>
          <w:lang w:eastAsia="zh-CN"/>
        </w:rPr>
        <w:t>和退休人员生活补助经费的增加</w:t>
      </w:r>
      <w:r>
        <w:rPr>
          <w:rFonts w:hint="eastAsia" w:ascii="Times New Roman" w:hAnsi="Times New Roman" w:eastAsia="仿宋_GB2312" w:cs="Times New Roman"/>
          <w:color w:val="auto"/>
          <w:sz w:val="32"/>
          <w:szCs w:val="32"/>
        </w:rPr>
        <w:t>。</w:t>
      </w:r>
    </w:p>
    <w:p>
      <w:pPr>
        <w:pStyle w:val="12"/>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（二）财政拨款支出决算结构情况</w:t>
      </w:r>
    </w:p>
    <w:p>
      <w:pPr>
        <w:pStyle w:val="12"/>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2019</w:t>
      </w:r>
      <w:r>
        <w:rPr>
          <w:rFonts w:ascii="Times New Roman" w:hAnsi="Times New Roman" w:eastAsia="仿宋_GB2312" w:cs="Times New Roman"/>
          <w:color w:val="auto"/>
          <w:sz w:val="32"/>
          <w:szCs w:val="32"/>
        </w:rPr>
        <w:t>年度财政拨款支</w:t>
      </w:r>
      <w:r>
        <w:rPr>
          <w:rFonts w:hint="eastAsia" w:ascii="Times New Roman" w:hAnsi="Times New Roman" w:eastAsia="仿宋_GB2312" w:cs="Times New Roman"/>
          <w:color w:val="auto"/>
          <w:sz w:val="32"/>
          <w:szCs w:val="32"/>
          <w:lang w:eastAsia="zh-CN"/>
        </w:rPr>
        <w:t>出</w:t>
      </w:r>
      <w:r>
        <w:rPr>
          <w:rFonts w:hint="eastAsia" w:ascii="Times New Roman" w:hAnsi="Times New Roman" w:eastAsia="仿宋_GB2312" w:cs="Times New Roman"/>
          <w:color w:val="auto"/>
          <w:sz w:val="32"/>
          <w:szCs w:val="32"/>
          <w:lang w:val="en-US" w:eastAsia="zh-CN"/>
        </w:rPr>
        <w:t>222.71</w:t>
      </w:r>
      <w:r>
        <w:rPr>
          <w:rFonts w:ascii="Times New Roman" w:hAnsi="Times New Roman" w:eastAsia="仿宋_GB2312" w:cs="Times New Roman"/>
          <w:color w:val="auto"/>
          <w:sz w:val="32"/>
          <w:szCs w:val="32"/>
        </w:rPr>
        <w:t>万元，主要用于以下方面：</w:t>
      </w:r>
      <w:r>
        <w:rPr>
          <w:rFonts w:hint="eastAsia" w:ascii="Times New Roman" w:hAnsi="Times New Roman" w:eastAsia="仿宋_GB2312" w:cs="Times New Roman"/>
          <w:color w:val="auto"/>
          <w:sz w:val="32"/>
          <w:szCs w:val="32"/>
          <w:lang w:eastAsia="zh-CN"/>
        </w:rPr>
        <w:t>文化旅游体育与传媒支出</w:t>
      </w:r>
      <w:r>
        <w:rPr>
          <w:rFonts w:hint="eastAsia" w:ascii="Times New Roman" w:hAnsi="Times New Roman" w:eastAsia="仿宋_GB2312" w:cs="Times New Roman"/>
          <w:color w:val="auto"/>
          <w:sz w:val="32"/>
          <w:szCs w:val="32"/>
          <w:lang w:val="en-US" w:eastAsia="zh-CN"/>
        </w:rPr>
        <w:t>221.71</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99.55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城乡社区支出</w:t>
      </w:r>
      <w:r>
        <w:rPr>
          <w:rFonts w:hint="eastAsia" w:ascii="Times New Roman" w:hAnsi="Times New Roman" w:eastAsia="仿宋_GB2312" w:cs="Times New Roman"/>
          <w:color w:val="auto"/>
          <w:sz w:val="32"/>
          <w:szCs w:val="32"/>
          <w:lang w:val="en-US" w:eastAsia="zh-CN"/>
        </w:rPr>
        <w:t>1万元，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0.45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pPr>
        <w:pStyle w:val="12"/>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（三）财政拨款支出决算具体情况</w:t>
      </w:r>
    </w:p>
    <w:p>
      <w:pPr>
        <w:pStyle w:val="12"/>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2019</w:t>
      </w:r>
      <w:r>
        <w:rPr>
          <w:rFonts w:ascii="Times New Roman" w:hAnsi="Times New Roman" w:eastAsia="仿宋_GB2312" w:cs="Times New Roman"/>
          <w:color w:val="auto"/>
          <w:sz w:val="32"/>
          <w:szCs w:val="32"/>
        </w:rPr>
        <w:t>年度财政拨款支出年初预算数</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125.94</w:t>
      </w:r>
      <w:r>
        <w:rPr>
          <w:rFonts w:ascii="Times New Roman" w:hAnsi="Times New Roman" w:eastAsia="仿宋_GB2312" w:cs="Times New Roman"/>
          <w:color w:val="auto"/>
          <w:sz w:val="32"/>
          <w:szCs w:val="32"/>
        </w:rPr>
        <w:t>万元，支出决算数</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222.71</w:t>
      </w:r>
      <w:r>
        <w:rPr>
          <w:rFonts w:ascii="Times New Roman" w:hAnsi="Times New Roman" w:eastAsia="仿宋_GB2312" w:cs="Times New Roman"/>
          <w:color w:val="auto"/>
          <w:sz w:val="32"/>
          <w:szCs w:val="32"/>
        </w:rPr>
        <w:t>万元，完成年初预算</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176.84</w:t>
      </w:r>
      <w:r>
        <w:rPr>
          <w:rFonts w:ascii="Times New Roman" w:hAnsi="Times New Roman" w:eastAsia="仿宋_GB2312" w:cs="Times New Roman"/>
          <w:color w:val="auto"/>
          <w:sz w:val="32"/>
          <w:szCs w:val="32"/>
        </w:rPr>
        <w:t>%，其中：</w:t>
      </w:r>
    </w:p>
    <w:p>
      <w:pPr>
        <w:pStyle w:val="12"/>
        <w:numPr>
          <w:ilvl w:val="0"/>
          <w:numId w:val="1"/>
        </w:numPr>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文化旅游体育与传媒支出</w:t>
      </w:r>
      <w:r>
        <w:rPr>
          <w:rFonts w:ascii="Times New Roman" w:hAnsi="Times New Roman" w:eastAsia="仿宋_GB2312" w:cs="Times New Roman"/>
          <w:color w:val="auto"/>
          <w:sz w:val="32"/>
          <w:szCs w:val="32"/>
        </w:rPr>
        <w:t>。年初预算</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125.94</w:t>
      </w:r>
      <w:r>
        <w:rPr>
          <w:rFonts w:ascii="Times New Roman" w:hAnsi="Times New Roman" w:eastAsia="仿宋_GB2312" w:cs="Times New Roman"/>
          <w:color w:val="auto"/>
          <w:sz w:val="32"/>
          <w:szCs w:val="32"/>
        </w:rPr>
        <w:t>万元，支出决算</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221.71</w:t>
      </w:r>
      <w:r>
        <w:rPr>
          <w:rFonts w:ascii="Times New Roman" w:hAnsi="Times New Roman" w:eastAsia="仿宋_GB2312" w:cs="Times New Roman"/>
          <w:color w:val="auto"/>
          <w:sz w:val="32"/>
          <w:szCs w:val="32"/>
        </w:rPr>
        <w:t>万元，完成年初预算</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176</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eastAsia="zh-CN"/>
        </w:rPr>
        <w:t>县年初预算只安排人员基本支出，其他支出为年底追加安排。</w:t>
      </w:r>
    </w:p>
    <w:p>
      <w:pPr>
        <w:pStyle w:val="12"/>
        <w:numPr>
          <w:ilvl w:val="0"/>
          <w:numId w:val="0"/>
        </w:numPr>
        <w:spacing w:line="60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　　</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城乡社区支出</w:t>
      </w:r>
      <w:r>
        <w:rPr>
          <w:rFonts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lang w:eastAsia="zh-CN"/>
        </w:rPr>
        <w:t>城乡社区规划与管理</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lang w:eastAsia="zh-CN"/>
        </w:rPr>
        <w:t>城乡社区规划与管理</w:t>
      </w:r>
      <w:r>
        <w:rPr>
          <w:rFonts w:ascii="Times New Roman" w:hAnsi="Times New Roman" w:eastAsia="仿宋_GB2312" w:cs="Times New Roman"/>
          <w:color w:val="auto"/>
          <w:sz w:val="32"/>
          <w:szCs w:val="32"/>
        </w:rPr>
        <w:t>（项）。</w:t>
      </w:r>
    </w:p>
    <w:p>
      <w:pPr>
        <w:pStyle w:val="12"/>
        <w:numPr>
          <w:ilvl w:val="0"/>
          <w:numId w:val="0"/>
        </w:numPr>
        <w:spacing w:line="60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　　</w:t>
      </w:r>
      <w:r>
        <w:rPr>
          <w:rFonts w:ascii="Times New Roman" w:hAnsi="Times New Roman" w:eastAsia="仿宋_GB2312" w:cs="Times New Roman"/>
          <w:color w:val="auto"/>
          <w:sz w:val="32"/>
          <w:szCs w:val="32"/>
        </w:rPr>
        <w:t>年初预算</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万元，完成年初预算</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eastAsia="zh-CN"/>
        </w:rPr>
        <w:t>县年初预算只安排人员基本支出，其他支出为年底追加安排。</w:t>
      </w:r>
    </w:p>
    <w:p>
      <w:pPr>
        <w:pStyle w:val="12"/>
        <w:spacing w:line="600" w:lineRule="exact"/>
        <w:ind w:firstLine="640" w:firstLineChars="200"/>
        <w:rPr>
          <w:rFonts w:hint="eastAsia"/>
          <w:sz w:val="30"/>
          <w:szCs w:val="30"/>
        </w:rPr>
      </w:pPr>
      <w:r>
        <w:rPr>
          <w:rFonts w:hAnsi="黑体" w:cs="Times New Roman"/>
          <w:color w:val="auto"/>
          <w:sz w:val="32"/>
          <w:szCs w:val="32"/>
        </w:rPr>
        <w:t>六、一般公共预算财政拨款基本支出决算情况说明</w:t>
      </w:r>
    </w:p>
    <w:p>
      <w:pPr>
        <w:rPr>
          <w:rFonts w:ascii="Times New Roman" w:hAnsi="Times New Roman" w:eastAsia="仿宋_GB2312" w:cs="Times New Roman"/>
          <w:color w:val="auto"/>
          <w:sz w:val="32"/>
          <w:szCs w:val="32"/>
        </w:rPr>
      </w:pPr>
      <w:r>
        <w:rPr>
          <w:rFonts w:hint="eastAsia"/>
          <w:sz w:val="30"/>
          <w:szCs w:val="30"/>
          <w:lang w:eastAsia="zh-CN"/>
        </w:rPr>
        <w:t>　　　</w:t>
      </w:r>
      <w:r>
        <w:rPr>
          <w:rFonts w:hint="eastAsia" w:ascii="Times New Roman" w:hAnsi="Times New Roman" w:eastAsia="仿宋_GB2312" w:cs="Times New Roman"/>
          <w:color w:val="auto"/>
          <w:sz w:val="32"/>
          <w:szCs w:val="32"/>
          <w:lang w:val="en-US" w:eastAsia="zh-CN"/>
        </w:rPr>
        <w:t>2019</w:t>
      </w:r>
      <w:r>
        <w:rPr>
          <w:rFonts w:ascii="Times New Roman" w:hAnsi="Times New Roman" w:eastAsia="仿宋_GB2312" w:cs="Times New Roman"/>
          <w:color w:val="auto"/>
          <w:sz w:val="32"/>
          <w:szCs w:val="32"/>
        </w:rPr>
        <w:t>年度财政拨款基本支</w:t>
      </w:r>
      <w:r>
        <w:rPr>
          <w:rFonts w:hint="eastAsia" w:ascii="Times New Roman" w:hAnsi="Times New Roman" w:eastAsia="仿宋_GB2312" w:cs="Times New Roman"/>
          <w:color w:val="auto"/>
          <w:sz w:val="32"/>
          <w:szCs w:val="32"/>
          <w:lang w:eastAsia="zh-CN"/>
        </w:rPr>
        <w:t>出</w:t>
      </w:r>
      <w:r>
        <w:rPr>
          <w:rFonts w:hint="eastAsia" w:ascii="Times New Roman" w:hAnsi="Times New Roman" w:eastAsia="仿宋_GB2312" w:cs="Times New Roman"/>
          <w:color w:val="auto"/>
          <w:sz w:val="32"/>
          <w:szCs w:val="32"/>
          <w:lang w:val="en-US" w:eastAsia="zh-CN"/>
        </w:rPr>
        <w:t>222.71</w:t>
      </w:r>
      <w:r>
        <w:rPr>
          <w:rFonts w:ascii="Times New Roman" w:hAnsi="Times New Roman" w:eastAsia="仿宋_GB2312" w:cs="Times New Roman"/>
          <w:color w:val="auto"/>
          <w:sz w:val="32"/>
          <w:szCs w:val="32"/>
        </w:rPr>
        <w:t>万元，其中：人员经</w:t>
      </w:r>
      <w:r>
        <w:rPr>
          <w:rFonts w:hint="eastAsia" w:ascii="Times New Roman" w:hAnsi="Times New Roman" w:eastAsia="仿宋_GB2312" w:cs="Times New Roman"/>
          <w:color w:val="auto"/>
          <w:sz w:val="32"/>
          <w:szCs w:val="32"/>
          <w:lang w:eastAsia="zh-CN"/>
        </w:rPr>
        <w:t>费</w:t>
      </w:r>
      <w:r>
        <w:rPr>
          <w:rFonts w:hint="eastAsia" w:ascii="Times New Roman" w:hAnsi="Times New Roman" w:eastAsia="仿宋_GB2312" w:cs="Times New Roman"/>
          <w:color w:val="auto"/>
          <w:sz w:val="32"/>
          <w:szCs w:val="32"/>
          <w:lang w:val="en-US" w:eastAsia="zh-CN"/>
        </w:rPr>
        <w:t>203.9</w:t>
      </w:r>
      <w:r>
        <w:rPr>
          <w:rFonts w:ascii="Times New Roman" w:hAnsi="Times New Roman" w:eastAsia="仿宋_GB2312" w:cs="Times New Roman"/>
          <w:color w:val="auto"/>
          <w:sz w:val="32"/>
          <w:szCs w:val="32"/>
        </w:rPr>
        <w:t>万元，占基本支出</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91.55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主要包括基本工资、津贴补贴、奖金、伙食补助费、绩效工资、机关事业单位基本养老保险缴费、职业年金缴费、职工基本医疗保险缴费、住房公积金、医疗费、其他社会保障缴费、其他工资福利支出、离休费、退休费、退职（役）费、抚恤金、生活补助、救济费、医疗费补助、助学金、奖励金、个人农业生产补贴、其他对个人和家庭的补助支出等</w:t>
      </w:r>
      <w:r>
        <w:rPr>
          <w:rFonts w:ascii="Times New Roman" w:hAnsi="Times New Roman" w:eastAsia="仿宋_GB2312" w:cs="Times New Roman"/>
          <w:color w:val="auto"/>
          <w:sz w:val="32"/>
          <w:szCs w:val="32"/>
        </w:rPr>
        <w:t>；公用经</w:t>
      </w:r>
      <w:r>
        <w:rPr>
          <w:rFonts w:hint="eastAsia" w:ascii="Times New Roman" w:hAnsi="Times New Roman" w:eastAsia="仿宋_GB2312" w:cs="Times New Roman"/>
          <w:color w:val="auto"/>
          <w:sz w:val="32"/>
          <w:szCs w:val="32"/>
          <w:lang w:eastAsia="zh-CN"/>
        </w:rPr>
        <w:t>费</w:t>
      </w:r>
      <w:r>
        <w:rPr>
          <w:rFonts w:hint="eastAsia" w:ascii="Times New Roman" w:hAnsi="Times New Roman" w:eastAsia="仿宋_GB2312" w:cs="Times New Roman"/>
          <w:color w:val="auto"/>
          <w:sz w:val="32"/>
          <w:szCs w:val="32"/>
          <w:lang w:val="en-US" w:eastAsia="zh-CN"/>
        </w:rPr>
        <w:t>18.81</w:t>
      </w:r>
      <w:r>
        <w:rPr>
          <w:rFonts w:ascii="Times New Roman" w:hAnsi="Times New Roman" w:eastAsia="仿宋_GB2312" w:cs="Times New Roman"/>
          <w:color w:val="auto"/>
          <w:sz w:val="32"/>
          <w:szCs w:val="32"/>
        </w:rPr>
        <w:t>万元，占基本支出</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8.45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信息网络及软件购置更新、其他资本性支出等。</w:t>
      </w:r>
    </w:p>
    <w:p>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七、一般公共预算财政拨款三公经费支出决算情况说明</w:t>
      </w:r>
    </w:p>
    <w:p>
      <w:pPr>
        <w:pStyle w:val="12"/>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（一）“三公”经费财政拨款支出决算总体情况说明</w:t>
      </w:r>
    </w:p>
    <w:p>
      <w:pPr>
        <w:pStyle w:val="12"/>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“三公”经费财政拨款支出预算</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万元，完成预算</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33.3</w:t>
      </w:r>
      <w:r>
        <w:rPr>
          <w:rFonts w:ascii="Times New Roman" w:hAnsi="Times New Roman" w:eastAsia="仿宋_GB2312" w:cs="Times New Roman"/>
          <w:color w:val="auto"/>
          <w:sz w:val="32"/>
          <w:szCs w:val="32"/>
        </w:rPr>
        <w:t>%，其中：</w:t>
      </w:r>
    </w:p>
    <w:p>
      <w:pP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因公出国（境）费支出预算</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万元，完成预算</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eastAsia="zh-CN"/>
        </w:rPr>
        <w:t>与</w:t>
      </w:r>
      <w:r>
        <w:rPr>
          <w:rFonts w:ascii="Times New Roman" w:hAnsi="Times New Roman" w:eastAsia="仿宋_GB2312" w:cs="Times New Roman"/>
          <w:color w:val="auto"/>
          <w:sz w:val="32"/>
          <w:szCs w:val="32"/>
        </w:rPr>
        <w:t>年初预算数</w:t>
      </w:r>
      <w:r>
        <w:rPr>
          <w:rFonts w:hint="eastAsia" w:ascii="Times New Roman" w:hAnsi="Times New Roman" w:eastAsia="仿宋_GB2312" w:cs="Times New Roman"/>
          <w:color w:val="auto"/>
          <w:sz w:val="32"/>
          <w:szCs w:val="32"/>
          <w:lang w:eastAsia="zh-CN"/>
        </w:rPr>
        <w:t>持平的</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eastAsia="zh-CN"/>
        </w:rPr>
        <w:t>本单位无因公出国出境费</w:t>
      </w:r>
      <w:r>
        <w:rPr>
          <w:rFonts w:ascii="Times New Roman" w:hAnsi="Times New Roman" w:eastAsia="仿宋_GB2312" w:cs="Times New Roman"/>
          <w:color w:val="auto"/>
          <w:sz w:val="32"/>
          <w:szCs w:val="32"/>
        </w:rPr>
        <w:t>，与上年相比增加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持平</w:t>
      </w:r>
      <w:r>
        <w:rPr>
          <w:rFonts w:ascii="Times New Roman" w:hAnsi="Times New Roman" w:eastAsia="仿宋_GB2312" w:cs="Times New Roman"/>
          <w:color w:val="auto"/>
          <w:sz w:val="32"/>
          <w:szCs w:val="32"/>
        </w:rPr>
        <w:t>的主要原因是</w:t>
      </w:r>
      <w:r>
        <w:rPr>
          <w:rFonts w:hint="eastAsia" w:ascii="Times New Roman" w:hAnsi="Times New Roman" w:eastAsia="仿宋_GB2312" w:cs="Times New Roman"/>
          <w:color w:val="auto"/>
          <w:sz w:val="32"/>
          <w:szCs w:val="32"/>
          <w:lang w:eastAsia="zh-CN"/>
        </w:rPr>
        <w:t>本单位无因公出国出境费</w:t>
      </w:r>
      <w:r>
        <w:rPr>
          <w:rFonts w:ascii="Times New Roman" w:hAnsi="Times New Roman" w:eastAsia="仿宋_GB2312" w:cs="Times New Roman"/>
          <w:color w:val="auto"/>
          <w:sz w:val="32"/>
          <w:szCs w:val="32"/>
        </w:rPr>
        <w:t>。</w:t>
      </w:r>
      <w:r>
        <w:rPr>
          <w:rFonts w:hint="eastAsia"/>
          <w:sz w:val="30"/>
          <w:szCs w:val="30"/>
        </w:rPr>
        <w:t>本年度“三公”经费预算数为</w:t>
      </w:r>
      <w:r>
        <w:rPr>
          <w:rFonts w:hint="eastAsia"/>
          <w:sz w:val="30"/>
          <w:szCs w:val="30"/>
          <w:lang w:val="en-US" w:eastAsia="zh-CN"/>
        </w:rPr>
        <w:t>3</w:t>
      </w:r>
      <w:r>
        <w:rPr>
          <w:rFonts w:hint="eastAsia"/>
          <w:sz w:val="30"/>
          <w:szCs w:val="30"/>
        </w:rPr>
        <w:t>万元，决算数为</w:t>
      </w:r>
      <w:r>
        <w:rPr>
          <w:rFonts w:hint="eastAsia"/>
          <w:sz w:val="30"/>
          <w:szCs w:val="30"/>
          <w:lang w:val="en-US" w:eastAsia="zh-CN"/>
        </w:rPr>
        <w:t>1</w:t>
      </w:r>
      <w:r>
        <w:rPr>
          <w:rFonts w:hint="eastAsia"/>
          <w:sz w:val="30"/>
          <w:szCs w:val="30"/>
        </w:rPr>
        <w:t>万元</w:t>
      </w:r>
      <w:r>
        <w:rPr>
          <w:rFonts w:hint="eastAsia"/>
          <w:sz w:val="30"/>
          <w:szCs w:val="30"/>
          <w:lang w:eastAsia="zh-CN"/>
        </w:rPr>
        <w:t>。</w:t>
      </w:r>
      <w:r>
        <w:rPr>
          <w:rFonts w:hint="eastAsia"/>
          <w:sz w:val="30"/>
          <w:szCs w:val="30"/>
        </w:rPr>
        <w:t>完成预算的</w:t>
      </w:r>
      <w:r>
        <w:rPr>
          <w:rFonts w:hint="eastAsia"/>
          <w:sz w:val="30"/>
          <w:szCs w:val="30"/>
          <w:lang w:val="en-US" w:eastAsia="zh-CN"/>
        </w:rPr>
        <w:t>33.3</w:t>
      </w:r>
      <w:r>
        <w:rPr>
          <w:rFonts w:hint="eastAsia"/>
          <w:sz w:val="30"/>
          <w:szCs w:val="30"/>
        </w:rPr>
        <w:t>%，比上年减少</w:t>
      </w:r>
      <w:r>
        <w:rPr>
          <w:rFonts w:hint="eastAsia"/>
          <w:sz w:val="30"/>
          <w:szCs w:val="30"/>
          <w:lang w:val="en-US" w:eastAsia="zh-CN"/>
        </w:rPr>
        <w:t>0.87</w:t>
      </w:r>
      <w:r>
        <w:rPr>
          <w:rFonts w:hint="eastAsia"/>
          <w:sz w:val="30"/>
          <w:szCs w:val="30"/>
        </w:rPr>
        <w:t>万元</w:t>
      </w:r>
      <w:r>
        <w:rPr>
          <w:rFonts w:hint="eastAsia"/>
          <w:sz w:val="30"/>
          <w:szCs w:val="30"/>
          <w:lang w:eastAsia="zh-CN"/>
        </w:rPr>
        <w:t>，其中</w:t>
      </w:r>
      <w:bookmarkStart w:id="0" w:name="_GoBack"/>
      <w:bookmarkEnd w:id="0"/>
      <w:r>
        <w:rPr>
          <w:rFonts w:hint="eastAsia"/>
          <w:sz w:val="30"/>
          <w:szCs w:val="30"/>
          <w:lang w:eastAsia="zh-CN"/>
        </w:rPr>
        <w:t>：</w:t>
      </w:r>
    </w:p>
    <w:p>
      <w:pPr>
        <w:pStyle w:val="12"/>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公务接待费支出预</w:t>
      </w:r>
      <w:r>
        <w:rPr>
          <w:rFonts w:hint="eastAsia" w:ascii="Times New Roman" w:hAnsi="Times New Roman" w:eastAsia="仿宋_GB2312" w:cs="Times New Roman"/>
          <w:color w:val="auto"/>
          <w:sz w:val="32"/>
          <w:szCs w:val="32"/>
          <w:lang w:eastAsia="zh-CN"/>
        </w:rPr>
        <w:t>算</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万元，支出决算</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万元，完成预算</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50</w:t>
      </w:r>
      <w:r>
        <w:rPr>
          <w:rFonts w:ascii="Times New Roman" w:hAnsi="Times New Roman" w:eastAsia="仿宋_GB2312" w:cs="Times New Roman"/>
          <w:color w:val="auto"/>
          <w:sz w:val="32"/>
          <w:szCs w:val="32"/>
        </w:rPr>
        <w:t>%，决算数小于年初预算数的主要原因是</w:t>
      </w:r>
      <w:r>
        <w:rPr>
          <w:rFonts w:hint="eastAsia" w:ascii="Times New Roman" w:hAnsi="Times New Roman" w:eastAsia="仿宋_GB2312" w:cs="Times New Roman"/>
          <w:color w:val="auto"/>
          <w:sz w:val="32"/>
          <w:szCs w:val="32"/>
          <w:lang w:eastAsia="zh-CN"/>
        </w:rPr>
        <w:t>响应党中央号召，减少公务接待费支出</w:t>
      </w:r>
      <w:r>
        <w:rPr>
          <w:rFonts w:ascii="Times New Roman" w:hAnsi="Times New Roman" w:eastAsia="仿宋_GB2312" w:cs="Times New Roman"/>
          <w:color w:val="auto"/>
          <w:sz w:val="32"/>
          <w:szCs w:val="32"/>
        </w:rPr>
        <w:t>，与上年相比减少</w:t>
      </w:r>
      <w:r>
        <w:rPr>
          <w:rFonts w:hint="eastAsia" w:ascii="Times New Roman" w:hAnsi="Times New Roman" w:eastAsia="仿宋_GB2312" w:cs="Times New Roman"/>
          <w:color w:val="auto"/>
          <w:sz w:val="32"/>
          <w:szCs w:val="32"/>
          <w:lang w:val="en-US" w:eastAsia="zh-CN"/>
        </w:rPr>
        <w:t>0.87</w:t>
      </w:r>
      <w:r>
        <w:rPr>
          <w:rFonts w:ascii="Times New Roman" w:hAnsi="Times New Roman" w:eastAsia="仿宋_GB2312" w:cs="Times New Roman"/>
          <w:color w:val="auto"/>
          <w:sz w:val="32"/>
          <w:szCs w:val="32"/>
        </w:rPr>
        <w:t>万元，减少</w:t>
      </w:r>
      <w:r>
        <w:rPr>
          <w:rFonts w:hint="eastAsia" w:ascii="Times New Roman" w:hAnsi="Times New Roman" w:eastAsia="仿宋_GB2312" w:cs="Times New Roman"/>
          <w:color w:val="auto"/>
          <w:sz w:val="32"/>
          <w:szCs w:val="32"/>
          <w:lang w:val="en-US" w:eastAsia="zh-CN"/>
        </w:rPr>
        <w:t>53.48</w:t>
      </w:r>
      <w:r>
        <w:rPr>
          <w:rFonts w:ascii="Times New Roman" w:hAnsi="Times New Roman" w:eastAsia="仿宋_GB2312" w:cs="Times New Roman"/>
          <w:color w:val="auto"/>
          <w:sz w:val="32"/>
          <w:szCs w:val="32"/>
        </w:rPr>
        <w:t>%,减少的主要原因是</w:t>
      </w:r>
      <w:r>
        <w:rPr>
          <w:rFonts w:hint="eastAsia" w:ascii="Times New Roman" w:hAnsi="Times New Roman" w:eastAsia="仿宋_GB2312" w:cs="Times New Roman"/>
          <w:color w:val="auto"/>
          <w:sz w:val="32"/>
          <w:szCs w:val="32"/>
          <w:lang w:eastAsia="zh-CN"/>
        </w:rPr>
        <w:t>响应党中央号召，减少公务接待费支出</w:t>
      </w:r>
      <w:r>
        <w:rPr>
          <w:rFonts w:ascii="Times New Roman" w:hAnsi="Times New Roman" w:eastAsia="仿宋_GB2312" w:cs="Times New Roman"/>
          <w:color w:val="auto"/>
          <w:sz w:val="32"/>
          <w:szCs w:val="32"/>
        </w:rPr>
        <w:t>。</w:t>
      </w:r>
    </w:p>
    <w:p>
      <w:pPr>
        <w:pStyle w:val="12"/>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公务用车购置费及运行维护费支出预算</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万元，完成预算</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本单位公车保有量</w:t>
      </w:r>
      <w:r>
        <w:rPr>
          <w:rFonts w:hint="eastAsia" w:ascii="Times New Roman" w:hAnsi="Times New Roman" w:eastAsia="仿宋_GB2312" w:cs="Times New Roman"/>
          <w:color w:val="auto"/>
          <w:sz w:val="32"/>
          <w:szCs w:val="32"/>
          <w:lang w:val="en-US" w:eastAsia="zh-CN"/>
        </w:rPr>
        <w:t>0辆，</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eastAsia="zh-CN"/>
        </w:rPr>
        <w:t>与</w:t>
      </w:r>
      <w:r>
        <w:rPr>
          <w:rFonts w:ascii="Times New Roman" w:hAnsi="Times New Roman" w:eastAsia="仿宋_GB2312" w:cs="Times New Roman"/>
          <w:color w:val="auto"/>
          <w:sz w:val="32"/>
          <w:szCs w:val="32"/>
        </w:rPr>
        <w:t>年初预算数</w:t>
      </w:r>
      <w:r>
        <w:rPr>
          <w:rFonts w:hint="eastAsia" w:ascii="Times New Roman" w:hAnsi="Times New Roman" w:eastAsia="仿宋_GB2312" w:cs="Times New Roman"/>
          <w:color w:val="auto"/>
          <w:sz w:val="32"/>
          <w:szCs w:val="32"/>
          <w:lang w:eastAsia="zh-CN"/>
        </w:rPr>
        <w:t>持平</w:t>
      </w:r>
      <w:r>
        <w:rPr>
          <w:rFonts w:ascii="Times New Roman" w:hAnsi="Times New Roman" w:eastAsia="仿宋_GB2312" w:cs="Times New Roman"/>
          <w:color w:val="auto"/>
          <w:sz w:val="32"/>
          <w:szCs w:val="32"/>
        </w:rPr>
        <w:t>的主要原因是</w:t>
      </w:r>
      <w:r>
        <w:rPr>
          <w:rFonts w:hint="eastAsia" w:ascii="Times New Roman" w:hAnsi="Times New Roman" w:eastAsia="仿宋_GB2312" w:cs="Times New Roman"/>
          <w:color w:val="auto"/>
          <w:sz w:val="32"/>
          <w:szCs w:val="32"/>
          <w:lang w:eastAsia="zh-CN"/>
        </w:rPr>
        <w:t>本单位无公务用车</w:t>
      </w:r>
      <w:r>
        <w:rPr>
          <w:rFonts w:ascii="Times New Roman" w:hAnsi="Times New Roman" w:eastAsia="仿宋_GB2312" w:cs="Times New Roman"/>
          <w:color w:val="auto"/>
          <w:sz w:val="32"/>
          <w:szCs w:val="32"/>
        </w:rPr>
        <w:t>，与上年相比增加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持平</w:t>
      </w:r>
      <w:r>
        <w:rPr>
          <w:rFonts w:ascii="Times New Roman" w:hAnsi="Times New Roman" w:eastAsia="仿宋_GB2312" w:cs="Times New Roman"/>
          <w:color w:val="auto"/>
          <w:sz w:val="32"/>
          <w:szCs w:val="32"/>
        </w:rPr>
        <w:t>的主要原因是</w:t>
      </w:r>
      <w:r>
        <w:rPr>
          <w:rFonts w:hint="eastAsia" w:ascii="Times New Roman" w:hAnsi="Times New Roman" w:eastAsia="仿宋_GB2312" w:cs="Times New Roman"/>
          <w:color w:val="auto"/>
          <w:sz w:val="32"/>
          <w:szCs w:val="32"/>
          <w:lang w:eastAsia="zh-CN"/>
        </w:rPr>
        <w:t>本单位无公务用车</w:t>
      </w:r>
      <w:r>
        <w:rPr>
          <w:rFonts w:ascii="Times New Roman" w:hAnsi="Times New Roman" w:eastAsia="仿宋_GB2312" w:cs="Times New Roman"/>
          <w:color w:val="auto"/>
          <w:sz w:val="32"/>
          <w:szCs w:val="32"/>
        </w:rPr>
        <w:t>。</w:t>
      </w:r>
    </w:p>
    <w:p>
      <w:pPr>
        <w:pStyle w:val="12"/>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（二）“三公”经费财政拨款支出决算具体情况说明</w:t>
      </w:r>
    </w:p>
    <w:p>
      <w:pPr>
        <w:pStyle w:val="12"/>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2019</w:t>
      </w:r>
      <w:r>
        <w:rPr>
          <w:rFonts w:ascii="Times New Roman" w:hAnsi="Times New Roman" w:eastAsia="仿宋_GB2312" w:cs="Times New Roman"/>
          <w:color w:val="auto"/>
          <w:sz w:val="32"/>
          <w:szCs w:val="32"/>
        </w:rPr>
        <w:t>年度“三公”经费财政拨款支出决算中，公务接待费支出决</w:t>
      </w:r>
      <w:r>
        <w:rPr>
          <w:rFonts w:hint="eastAsia" w:ascii="Times New Roman" w:hAnsi="Times New Roman" w:eastAsia="仿宋_GB2312" w:cs="Times New Roman"/>
          <w:color w:val="auto"/>
          <w:sz w:val="32"/>
          <w:szCs w:val="32"/>
          <w:lang w:eastAsia="zh-CN"/>
        </w:rPr>
        <w:t>算</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%,因公出国（境）费支出决</w:t>
      </w:r>
      <w:r>
        <w:rPr>
          <w:rFonts w:hint="eastAsia" w:ascii="Times New Roman" w:hAnsi="Times New Roman" w:eastAsia="仿宋_GB2312" w:cs="Times New Roman"/>
          <w:color w:val="auto"/>
          <w:sz w:val="32"/>
          <w:szCs w:val="32"/>
          <w:lang w:eastAsia="zh-CN"/>
        </w:rPr>
        <w:t>算</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%,公务用车购置费及运行维护费支出决</w:t>
      </w:r>
      <w:r>
        <w:rPr>
          <w:rFonts w:hint="eastAsia" w:ascii="Times New Roman" w:hAnsi="Times New Roman" w:eastAsia="仿宋_GB2312" w:cs="Times New Roman"/>
          <w:color w:val="auto"/>
          <w:sz w:val="32"/>
          <w:szCs w:val="32"/>
          <w:lang w:eastAsia="zh-CN"/>
        </w:rPr>
        <w:t>算</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%。其中：</w:t>
      </w:r>
    </w:p>
    <w:p>
      <w:pPr>
        <w:pStyle w:val="12"/>
        <w:numPr>
          <w:ilvl w:val="0"/>
          <w:numId w:val="2"/>
        </w:num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因公出国（境）费支出决算</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万元，全年安排因公出国（境）团</w:t>
      </w:r>
      <w:r>
        <w:rPr>
          <w:rFonts w:hint="eastAsia" w:ascii="Times New Roman" w:hAnsi="Times New Roman" w:eastAsia="仿宋_GB2312" w:cs="Times New Roman"/>
          <w:color w:val="auto"/>
          <w:sz w:val="32"/>
          <w:szCs w:val="32"/>
          <w:lang w:eastAsia="zh-CN"/>
        </w:rPr>
        <w:t>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个，累</w:t>
      </w:r>
      <w:r>
        <w:rPr>
          <w:rFonts w:hint="eastAsia" w:ascii="Times New Roman" w:hAnsi="Times New Roman" w:eastAsia="仿宋_GB2312" w:cs="Times New Roman"/>
          <w:color w:val="auto"/>
          <w:sz w:val="32"/>
          <w:szCs w:val="32"/>
          <w:lang w:eastAsia="zh-CN"/>
        </w:rPr>
        <w:t>计</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人次,</w:t>
      </w:r>
      <w:r>
        <w:rPr>
          <w:rFonts w:hint="eastAsia" w:ascii="Times New Roman" w:hAnsi="Times New Roman" w:eastAsia="仿宋_GB2312" w:cs="Times New Roman"/>
          <w:color w:val="auto"/>
          <w:sz w:val="32"/>
          <w:szCs w:val="32"/>
          <w:lang w:eastAsia="zh-CN"/>
        </w:rPr>
        <w:t>无</w:t>
      </w:r>
      <w:r>
        <w:rPr>
          <w:rFonts w:ascii="Times New Roman" w:hAnsi="Times New Roman" w:eastAsia="仿宋_GB2312" w:cs="Times New Roman"/>
          <w:color w:val="auto"/>
          <w:sz w:val="32"/>
          <w:szCs w:val="32"/>
        </w:rPr>
        <w:t>开支内</w:t>
      </w:r>
    </w:p>
    <w:p>
      <w:pPr>
        <w:pStyle w:val="12"/>
        <w:numPr>
          <w:ilvl w:val="0"/>
          <w:numId w:val="0"/>
        </w:numPr>
        <w:spacing w:line="60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　</w:t>
      </w:r>
      <w:r>
        <w:rPr>
          <w:rFonts w:ascii="Times New Roman" w:hAnsi="Times New Roman" w:eastAsia="仿宋_GB2312" w:cs="Times New Roman"/>
          <w:color w:val="auto"/>
          <w:sz w:val="32"/>
          <w:szCs w:val="32"/>
        </w:rPr>
        <w:t>2、公务接待费支出决算</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万元，全年共接待来访团组</w:t>
      </w:r>
      <w:r>
        <w:rPr>
          <w:rFonts w:hint="eastAsia" w:ascii="Times New Roman" w:hAnsi="Times New Roman" w:eastAsia="仿宋_GB2312" w:cs="Times New Roman"/>
          <w:color w:val="auto"/>
          <w:sz w:val="32"/>
          <w:szCs w:val="32"/>
          <w:lang w:val="en-US" w:eastAsia="zh-CN"/>
        </w:rPr>
        <w:t>40</w:t>
      </w:r>
      <w:r>
        <w:rPr>
          <w:rFonts w:ascii="Times New Roman" w:hAnsi="Times New Roman" w:eastAsia="仿宋_GB2312" w:cs="Times New Roman"/>
          <w:color w:val="auto"/>
          <w:sz w:val="32"/>
          <w:szCs w:val="32"/>
        </w:rPr>
        <w:t>个、来宾</w:t>
      </w:r>
      <w:r>
        <w:rPr>
          <w:rFonts w:hint="eastAsia" w:ascii="Times New Roman" w:hAnsi="Times New Roman" w:eastAsia="仿宋_GB2312" w:cs="Times New Roman"/>
          <w:color w:val="auto"/>
          <w:sz w:val="32"/>
          <w:szCs w:val="32"/>
          <w:lang w:val="en-US" w:eastAsia="zh-CN"/>
        </w:rPr>
        <w:t>170</w:t>
      </w:r>
      <w:r>
        <w:rPr>
          <w:rFonts w:ascii="Times New Roman" w:hAnsi="Times New Roman" w:eastAsia="仿宋_GB2312" w:cs="Times New Roman"/>
          <w:color w:val="auto"/>
          <w:sz w:val="32"/>
          <w:szCs w:val="32"/>
        </w:rPr>
        <w:t>人次，主要是</w:t>
      </w:r>
      <w:r>
        <w:rPr>
          <w:rFonts w:hint="eastAsia" w:ascii="Times New Roman" w:hAnsi="Times New Roman" w:eastAsia="仿宋_GB2312" w:cs="Times New Roman"/>
          <w:color w:val="auto"/>
          <w:sz w:val="32"/>
          <w:szCs w:val="32"/>
          <w:lang w:eastAsia="zh-CN"/>
        </w:rPr>
        <w:t>上级单位和同级单位正常业务往来</w:t>
      </w:r>
      <w:r>
        <w:rPr>
          <w:rFonts w:ascii="Times New Roman" w:hAnsi="Times New Roman" w:eastAsia="仿宋_GB2312" w:cs="Times New Roman"/>
          <w:color w:val="auto"/>
          <w:sz w:val="32"/>
          <w:szCs w:val="32"/>
        </w:rPr>
        <w:t>发生的接待支出。</w:t>
      </w:r>
    </w:p>
    <w:p>
      <w:pPr>
        <w:spacing w:line="600" w:lineRule="exact"/>
        <w:ind w:firstLine="640" w:firstLineChars="200"/>
        <w:rPr>
          <w:rFonts w:eastAsia="仿宋_GB2312"/>
          <w:kern w:val="0"/>
          <w:sz w:val="32"/>
          <w:szCs w:val="32"/>
        </w:rPr>
      </w:pPr>
      <w:r>
        <w:rPr>
          <w:rFonts w:eastAsia="仿宋_GB2312"/>
          <w:sz w:val="32"/>
          <w:szCs w:val="32"/>
        </w:rPr>
        <w:t>3、公务用车购置费及运行维护费支出决算</w:t>
      </w:r>
      <w:r>
        <w:rPr>
          <w:rFonts w:hint="eastAsia" w:eastAsia="仿宋_GB2312"/>
          <w:sz w:val="32"/>
          <w:szCs w:val="32"/>
          <w:lang w:eastAsia="zh-CN"/>
        </w:rPr>
        <w:t>为</w:t>
      </w:r>
      <w:r>
        <w:rPr>
          <w:rFonts w:hint="eastAsia" w:eastAsia="仿宋_GB2312"/>
          <w:sz w:val="32"/>
          <w:szCs w:val="32"/>
          <w:lang w:val="en-US" w:eastAsia="zh-CN"/>
        </w:rPr>
        <w:t>0</w:t>
      </w:r>
      <w:r>
        <w:rPr>
          <w:rFonts w:eastAsia="仿宋_GB2312"/>
          <w:sz w:val="32"/>
          <w:szCs w:val="32"/>
        </w:rPr>
        <w:t>万元，其中：公务用车购置</w:t>
      </w:r>
      <w:r>
        <w:rPr>
          <w:rFonts w:hint="eastAsia" w:eastAsia="仿宋_GB2312"/>
          <w:sz w:val="32"/>
          <w:szCs w:val="32"/>
          <w:lang w:eastAsia="zh-CN"/>
        </w:rPr>
        <w:t>费</w:t>
      </w:r>
      <w:r>
        <w:rPr>
          <w:rFonts w:hint="eastAsia" w:eastAsia="仿宋_GB2312"/>
          <w:sz w:val="32"/>
          <w:szCs w:val="32"/>
          <w:lang w:val="en-US" w:eastAsia="zh-CN"/>
        </w:rPr>
        <w:t>0</w:t>
      </w:r>
      <w:r>
        <w:rPr>
          <w:rFonts w:eastAsia="仿宋_GB2312"/>
          <w:sz w:val="32"/>
          <w:szCs w:val="32"/>
        </w:rPr>
        <w:t>万元</w:t>
      </w:r>
      <w:r>
        <w:rPr>
          <w:rFonts w:hint="eastAsia" w:eastAsia="仿宋_GB2312"/>
          <w:sz w:val="32"/>
          <w:szCs w:val="32"/>
          <w:lang w:eastAsia="zh-CN"/>
        </w:rPr>
        <w:t>，</w:t>
      </w:r>
      <w:r>
        <w:rPr>
          <w:rFonts w:eastAsia="仿宋_GB2312"/>
          <w:sz w:val="32"/>
          <w:szCs w:val="32"/>
        </w:rPr>
        <w:t>更新公务用</w:t>
      </w:r>
      <w:r>
        <w:rPr>
          <w:rFonts w:hint="eastAsia" w:eastAsia="仿宋_GB2312"/>
          <w:sz w:val="32"/>
          <w:szCs w:val="32"/>
          <w:lang w:eastAsia="zh-CN"/>
        </w:rPr>
        <w:t>车</w:t>
      </w:r>
      <w:r>
        <w:rPr>
          <w:rFonts w:hint="eastAsia" w:eastAsia="仿宋_GB2312"/>
          <w:sz w:val="32"/>
          <w:szCs w:val="32"/>
          <w:lang w:val="en-US" w:eastAsia="zh-CN"/>
        </w:rPr>
        <w:t>0</w:t>
      </w:r>
      <w:r>
        <w:rPr>
          <w:rFonts w:eastAsia="仿宋_GB2312"/>
          <w:sz w:val="32"/>
          <w:szCs w:val="32"/>
        </w:rPr>
        <w:t>辆</w:t>
      </w:r>
      <w:r>
        <w:rPr>
          <w:rFonts w:hint="eastAsia" w:eastAsia="仿宋_GB2312"/>
          <w:sz w:val="32"/>
          <w:szCs w:val="32"/>
          <w:lang w:val="en-US" w:eastAsia="zh-CN"/>
        </w:rPr>
        <w:t>0</w:t>
      </w:r>
      <w:r>
        <w:rPr>
          <w:rFonts w:eastAsia="仿宋_GB2312"/>
          <w:sz w:val="32"/>
          <w:szCs w:val="32"/>
        </w:rPr>
        <w:t>。公务用车运行维护</w:t>
      </w:r>
      <w:r>
        <w:rPr>
          <w:rFonts w:hint="eastAsia" w:eastAsia="仿宋_GB2312"/>
          <w:sz w:val="32"/>
          <w:szCs w:val="32"/>
          <w:lang w:eastAsia="zh-CN"/>
        </w:rPr>
        <w:t>费</w:t>
      </w:r>
      <w:r>
        <w:rPr>
          <w:rFonts w:hint="eastAsia" w:eastAsia="仿宋_GB2312"/>
          <w:sz w:val="32"/>
          <w:szCs w:val="32"/>
          <w:lang w:val="en-US" w:eastAsia="zh-CN"/>
        </w:rPr>
        <w:t>0</w:t>
      </w:r>
      <w:r>
        <w:rPr>
          <w:rFonts w:eastAsia="仿宋_GB2312"/>
          <w:sz w:val="32"/>
          <w:szCs w:val="32"/>
        </w:rPr>
        <w:t>万元，</w:t>
      </w:r>
      <w:r>
        <w:rPr>
          <w:rFonts w:hint="eastAsia" w:eastAsia="仿宋_GB2312"/>
          <w:sz w:val="32"/>
          <w:szCs w:val="32"/>
          <w:lang w:eastAsia="zh-CN"/>
        </w:rPr>
        <w:t>无</w:t>
      </w:r>
      <w:r>
        <w:rPr>
          <w:rFonts w:eastAsia="仿宋_GB2312"/>
          <w:sz w:val="32"/>
          <w:szCs w:val="32"/>
        </w:rPr>
        <w:t>支出，截止</w:t>
      </w:r>
      <w:r>
        <w:rPr>
          <w:rFonts w:hint="eastAsia" w:eastAsia="仿宋_GB2312"/>
          <w:sz w:val="32"/>
          <w:szCs w:val="32"/>
          <w:lang w:val="en-US" w:eastAsia="zh-CN"/>
        </w:rPr>
        <w:t>2019</w:t>
      </w:r>
      <w:r>
        <w:rPr>
          <w:rFonts w:eastAsia="仿宋_GB2312"/>
          <w:sz w:val="32"/>
          <w:szCs w:val="32"/>
        </w:rPr>
        <w:t>年 12月31日，我单位开支财政拨款的公务用车保有量</w:t>
      </w:r>
      <w:r>
        <w:rPr>
          <w:rFonts w:hint="eastAsia" w:eastAsia="仿宋_GB2312"/>
          <w:sz w:val="32"/>
          <w:szCs w:val="32"/>
          <w:lang w:eastAsia="zh-CN"/>
        </w:rPr>
        <w:t>为</w:t>
      </w:r>
      <w:r>
        <w:rPr>
          <w:rFonts w:hint="eastAsia" w:eastAsia="仿宋_GB2312"/>
          <w:sz w:val="32"/>
          <w:szCs w:val="32"/>
          <w:lang w:val="en-US" w:eastAsia="zh-CN"/>
        </w:rPr>
        <w:t>0</w:t>
      </w:r>
      <w:r>
        <w:rPr>
          <w:rFonts w:eastAsia="仿宋_GB2312"/>
          <w:sz w:val="32"/>
          <w:szCs w:val="32"/>
        </w:rPr>
        <w:t>辆。</w:t>
      </w:r>
    </w:p>
    <w:p>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八、政府性基金预算收入支出决算情况</w:t>
      </w:r>
    </w:p>
    <w:p>
      <w:pPr>
        <w:pStyle w:val="12"/>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2019</w:t>
      </w:r>
      <w:r>
        <w:rPr>
          <w:rFonts w:ascii="Times New Roman" w:hAnsi="Times New Roman" w:eastAsia="仿宋_GB2312" w:cs="Times New Roman"/>
          <w:color w:val="auto"/>
          <w:sz w:val="32"/>
          <w:szCs w:val="32"/>
        </w:rPr>
        <w:t>年度政府性基金预算财政拨款收</w:t>
      </w:r>
      <w:r>
        <w:rPr>
          <w:rFonts w:hint="eastAsia" w:ascii="Times New Roman" w:hAnsi="Times New Roman" w:eastAsia="仿宋_GB2312" w:cs="Times New Roman"/>
          <w:color w:val="auto"/>
          <w:sz w:val="32"/>
          <w:szCs w:val="32"/>
          <w:lang w:eastAsia="zh-CN"/>
        </w:rPr>
        <w:t>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万元；年初结转和结</w:t>
      </w:r>
      <w:r>
        <w:rPr>
          <w:rFonts w:hint="eastAsia" w:ascii="Times New Roman" w:hAnsi="Times New Roman" w:eastAsia="仿宋_GB2312" w:cs="Times New Roman"/>
          <w:color w:val="auto"/>
          <w:sz w:val="32"/>
          <w:szCs w:val="32"/>
          <w:lang w:eastAsia="zh-CN"/>
        </w:rPr>
        <w:t>余</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w:t>
      </w:r>
      <w:r>
        <w:rPr>
          <w:rFonts w:hint="eastAsia" w:ascii="Times New Roman" w:hAnsi="Times New Roman" w:eastAsia="仿宋_GB2312" w:cs="Times New Roman"/>
          <w:color w:val="auto"/>
          <w:sz w:val="32"/>
          <w:szCs w:val="32"/>
          <w:lang w:eastAsia="zh-CN"/>
        </w:rPr>
        <w:t>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万元，其中基本支</w:t>
      </w:r>
      <w:r>
        <w:rPr>
          <w:rFonts w:hint="eastAsia" w:ascii="Times New Roman" w:hAnsi="Times New Roman" w:eastAsia="仿宋_GB2312" w:cs="Times New Roman"/>
          <w:color w:val="auto"/>
          <w:sz w:val="32"/>
          <w:szCs w:val="32"/>
          <w:lang w:eastAsia="zh-CN"/>
        </w:rPr>
        <w:t>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万元，项目支</w:t>
      </w:r>
      <w:r>
        <w:rPr>
          <w:rFonts w:hint="eastAsia" w:ascii="Times New Roman" w:hAnsi="Times New Roman" w:eastAsia="仿宋_GB2312" w:cs="Times New Roman"/>
          <w:color w:val="auto"/>
          <w:sz w:val="32"/>
          <w:szCs w:val="32"/>
          <w:lang w:eastAsia="zh-CN"/>
        </w:rPr>
        <w:t>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万元；年末结转和结</w:t>
      </w:r>
      <w:r>
        <w:rPr>
          <w:rFonts w:hint="eastAsia" w:ascii="Times New Roman" w:hAnsi="Times New Roman" w:eastAsia="仿宋_GB2312" w:cs="Times New Roman"/>
          <w:color w:val="auto"/>
          <w:sz w:val="32"/>
          <w:szCs w:val="32"/>
          <w:lang w:eastAsia="zh-CN"/>
        </w:rPr>
        <w:t>余</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万元。本单位无政府性基金收支</w:t>
      </w:r>
      <w:r>
        <w:rPr>
          <w:rFonts w:hint="eastAsia" w:ascii="Times New Roman" w:hAnsi="Times New Roman" w:eastAsia="仿宋_GB2312" w:cs="Times New Roman"/>
          <w:color w:val="auto"/>
          <w:sz w:val="32"/>
          <w:szCs w:val="32"/>
          <w:lang w:eastAsia="zh-CN"/>
        </w:rPr>
        <w:t>。</w:t>
      </w:r>
    </w:p>
    <w:p>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九、关于</w:t>
      </w:r>
      <w:r>
        <w:rPr>
          <w:rFonts w:hint="eastAsia" w:hAnsi="黑体" w:cs="Times New Roman"/>
          <w:color w:val="auto"/>
          <w:sz w:val="32"/>
          <w:szCs w:val="32"/>
          <w:lang w:val="en-US" w:eastAsia="zh-CN"/>
        </w:rPr>
        <w:t>2019</w:t>
      </w:r>
      <w:r>
        <w:rPr>
          <w:rFonts w:hAnsi="黑体" w:cs="Times New Roman"/>
          <w:color w:val="auto"/>
          <w:sz w:val="32"/>
          <w:szCs w:val="32"/>
        </w:rPr>
        <w:t>年度预算绩效情况说明</w:t>
      </w:r>
    </w:p>
    <w:p>
      <w:pPr>
        <w:rPr>
          <w:rFonts w:ascii="Times New Roman" w:hAnsi="Times New Roman" w:eastAsia="仿宋_GB2312" w:cs="Times New Roman"/>
          <w:color w:val="auto"/>
          <w:sz w:val="32"/>
          <w:szCs w:val="32"/>
        </w:rPr>
      </w:pPr>
      <w:r>
        <w:rPr>
          <w:rFonts w:hint="eastAsia"/>
          <w:sz w:val="30"/>
          <w:szCs w:val="30"/>
          <w:lang w:eastAsia="zh-CN"/>
        </w:rPr>
        <w:t>　　</w:t>
      </w:r>
      <w:r>
        <w:rPr>
          <w:rFonts w:hint="eastAsia" w:ascii="Times New Roman" w:hAnsi="Times New Roman" w:eastAsia="仿宋_GB2312" w:cs="Times New Roman"/>
          <w:color w:val="auto"/>
          <w:kern w:val="0"/>
          <w:sz w:val="32"/>
          <w:szCs w:val="32"/>
          <w:lang w:val="en-US" w:eastAsia="zh-CN" w:bidi="ar-SA"/>
        </w:rPr>
        <w:t>本单位按要求对2019年部门整体支出开展预算绩效管理工作，各项重点工作有序推进，目标任务全面完成，实现了年初预算绩效目标。我单位将进一步加强财政资金预算绩效管理，更加科学合理编制经费预算，进一步完善财务管理制度及内部控制制度，加强“三公”经费管理，规范财务核算，提高财政资金使用效率。</w:t>
      </w:r>
    </w:p>
    <w:p>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十、其他重要事项情况说明</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（一）机关运行经费支出情况</w:t>
      </w:r>
    </w:p>
    <w:p>
      <w:pPr>
        <w:spacing w:line="600" w:lineRule="exact"/>
        <w:ind w:firstLine="640" w:firstLineChars="200"/>
        <w:rPr>
          <w:rFonts w:eastAsia="仿宋_GB2312"/>
          <w:kern w:val="0"/>
          <w:sz w:val="32"/>
          <w:szCs w:val="32"/>
        </w:rPr>
      </w:pPr>
      <w:r>
        <w:rPr>
          <w:rFonts w:eastAsia="仿宋_GB2312"/>
          <w:kern w:val="0"/>
          <w:sz w:val="32"/>
          <w:szCs w:val="32"/>
        </w:rPr>
        <w:t>本部门</w:t>
      </w:r>
      <w:r>
        <w:rPr>
          <w:rFonts w:hint="eastAsia" w:eastAsia="仿宋_GB2312"/>
          <w:b/>
          <w:bCs/>
          <w:kern w:val="0"/>
          <w:sz w:val="32"/>
          <w:szCs w:val="32"/>
          <w:lang w:val="en-US" w:eastAsia="zh-CN"/>
        </w:rPr>
        <w:t>2019</w:t>
      </w:r>
      <w:r>
        <w:rPr>
          <w:rFonts w:eastAsia="仿宋_GB2312"/>
          <w:kern w:val="0"/>
          <w:sz w:val="32"/>
          <w:szCs w:val="32"/>
        </w:rPr>
        <w:t>年度机关运行经费支</w:t>
      </w:r>
      <w:r>
        <w:rPr>
          <w:rFonts w:hint="eastAsia" w:eastAsia="仿宋_GB2312"/>
          <w:kern w:val="0"/>
          <w:sz w:val="32"/>
          <w:szCs w:val="32"/>
          <w:lang w:eastAsia="zh-CN"/>
        </w:rPr>
        <w:t>出</w:t>
      </w:r>
      <w:r>
        <w:rPr>
          <w:rFonts w:hint="eastAsia" w:eastAsia="仿宋_GB2312"/>
          <w:kern w:val="0"/>
          <w:sz w:val="32"/>
          <w:szCs w:val="32"/>
          <w:lang w:val="en-US" w:eastAsia="zh-CN"/>
        </w:rPr>
        <w:t>18.81</w:t>
      </w:r>
      <w:r>
        <w:rPr>
          <w:rFonts w:eastAsia="仿宋_GB2312"/>
          <w:kern w:val="0"/>
          <w:sz w:val="32"/>
          <w:szCs w:val="32"/>
        </w:rPr>
        <w:t>万元，比年初预算数增加</w:t>
      </w:r>
      <w:r>
        <w:rPr>
          <w:rFonts w:hint="eastAsia" w:eastAsia="仿宋_GB2312"/>
          <w:kern w:val="0"/>
          <w:sz w:val="32"/>
          <w:szCs w:val="32"/>
          <w:lang w:val="en-US" w:eastAsia="zh-CN"/>
        </w:rPr>
        <w:t>6.49</w:t>
      </w:r>
      <w:r>
        <w:rPr>
          <w:rFonts w:eastAsia="仿宋_GB2312"/>
          <w:kern w:val="0"/>
          <w:sz w:val="32"/>
          <w:szCs w:val="32"/>
        </w:rPr>
        <w:t>万元，增长</w:t>
      </w:r>
      <w:r>
        <w:rPr>
          <w:rFonts w:hint="eastAsia" w:eastAsia="仿宋_GB2312"/>
          <w:kern w:val="0"/>
          <w:sz w:val="32"/>
          <w:szCs w:val="32"/>
          <w:lang w:val="en-US" w:eastAsia="zh-CN"/>
        </w:rPr>
        <w:t>52.68</w:t>
      </w:r>
      <w:r>
        <w:rPr>
          <w:rFonts w:eastAsia="仿宋_GB2312"/>
          <w:kern w:val="0"/>
          <w:sz w:val="32"/>
          <w:szCs w:val="32"/>
        </w:rPr>
        <w:t>%。主要原因是</w:t>
      </w:r>
      <w:r>
        <w:rPr>
          <w:rFonts w:hint="eastAsia" w:eastAsia="仿宋_GB2312"/>
          <w:kern w:val="0"/>
          <w:sz w:val="32"/>
          <w:szCs w:val="32"/>
          <w:lang w:eastAsia="zh-CN"/>
        </w:rPr>
        <w:t>办公费、差旅费等开的增加。</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（二）一般性支出情况</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2019</w:t>
      </w:r>
      <w:r>
        <w:rPr>
          <w:rFonts w:eastAsia="仿宋_GB2312"/>
          <w:kern w:val="0"/>
          <w:sz w:val="32"/>
          <w:szCs w:val="32"/>
        </w:rPr>
        <w:t>年本部门开支会议</w:t>
      </w:r>
      <w:r>
        <w:rPr>
          <w:rFonts w:hint="eastAsia" w:eastAsia="仿宋_GB2312"/>
          <w:kern w:val="0"/>
          <w:sz w:val="32"/>
          <w:szCs w:val="32"/>
          <w:lang w:eastAsia="zh-CN"/>
        </w:rPr>
        <w:t>费</w:t>
      </w:r>
      <w:r>
        <w:rPr>
          <w:rFonts w:hint="eastAsia" w:eastAsia="仿宋_GB2312"/>
          <w:kern w:val="0"/>
          <w:sz w:val="32"/>
          <w:szCs w:val="32"/>
          <w:lang w:val="en-US" w:eastAsia="zh-CN"/>
        </w:rPr>
        <w:t>0</w:t>
      </w:r>
      <w:r>
        <w:rPr>
          <w:rFonts w:eastAsia="仿宋_GB2312"/>
          <w:kern w:val="0"/>
          <w:sz w:val="32"/>
          <w:szCs w:val="32"/>
        </w:rPr>
        <w:t>万元，用于召开</w:t>
      </w:r>
      <w:r>
        <w:rPr>
          <w:rFonts w:hint="eastAsia" w:eastAsia="仿宋_GB2312"/>
          <w:kern w:val="0"/>
          <w:sz w:val="32"/>
          <w:szCs w:val="32"/>
          <w:lang w:val="en-US" w:eastAsia="zh-CN"/>
        </w:rPr>
        <w:t>0次</w:t>
      </w:r>
      <w:r>
        <w:rPr>
          <w:rFonts w:eastAsia="仿宋_GB2312"/>
          <w:kern w:val="0"/>
          <w:sz w:val="32"/>
          <w:szCs w:val="32"/>
        </w:rPr>
        <w:t>会议，人</w:t>
      </w:r>
      <w:r>
        <w:rPr>
          <w:rFonts w:hint="eastAsia" w:eastAsia="仿宋_GB2312"/>
          <w:kern w:val="0"/>
          <w:sz w:val="32"/>
          <w:szCs w:val="32"/>
          <w:lang w:eastAsia="zh-CN"/>
        </w:rPr>
        <w:t>数</w:t>
      </w:r>
      <w:r>
        <w:rPr>
          <w:rFonts w:hint="eastAsia" w:eastAsia="仿宋_GB2312"/>
          <w:kern w:val="0"/>
          <w:sz w:val="32"/>
          <w:szCs w:val="32"/>
          <w:lang w:val="en-US" w:eastAsia="zh-CN"/>
        </w:rPr>
        <w:t>0</w:t>
      </w:r>
      <w:r>
        <w:rPr>
          <w:rFonts w:eastAsia="仿宋_GB2312"/>
          <w:kern w:val="0"/>
          <w:sz w:val="32"/>
          <w:szCs w:val="32"/>
        </w:rPr>
        <w:t>人；开支培训</w:t>
      </w:r>
      <w:r>
        <w:rPr>
          <w:rFonts w:hint="eastAsia" w:eastAsia="仿宋_GB2312"/>
          <w:kern w:val="0"/>
          <w:sz w:val="32"/>
          <w:szCs w:val="32"/>
          <w:lang w:eastAsia="zh-CN"/>
        </w:rPr>
        <w:t>费</w:t>
      </w:r>
      <w:r>
        <w:rPr>
          <w:rFonts w:hint="eastAsia" w:eastAsia="仿宋_GB2312"/>
          <w:kern w:val="0"/>
          <w:sz w:val="32"/>
          <w:szCs w:val="32"/>
          <w:lang w:val="en-US" w:eastAsia="zh-CN"/>
        </w:rPr>
        <w:t>0</w:t>
      </w:r>
      <w:r>
        <w:rPr>
          <w:rFonts w:eastAsia="仿宋_GB2312"/>
          <w:kern w:val="0"/>
          <w:sz w:val="32"/>
          <w:szCs w:val="32"/>
        </w:rPr>
        <w:t>万元，人</w:t>
      </w:r>
      <w:r>
        <w:rPr>
          <w:rFonts w:hint="eastAsia" w:eastAsia="仿宋_GB2312"/>
          <w:kern w:val="0"/>
          <w:sz w:val="32"/>
          <w:szCs w:val="32"/>
          <w:lang w:eastAsia="zh-CN"/>
        </w:rPr>
        <w:t>数</w:t>
      </w:r>
      <w:r>
        <w:rPr>
          <w:rFonts w:hint="eastAsia" w:eastAsia="仿宋_GB2312"/>
          <w:kern w:val="0"/>
          <w:sz w:val="32"/>
          <w:szCs w:val="32"/>
          <w:lang w:val="en-US" w:eastAsia="zh-CN"/>
        </w:rPr>
        <w:t>0</w:t>
      </w:r>
      <w:r>
        <w:rPr>
          <w:rFonts w:eastAsia="仿宋_GB2312"/>
          <w:kern w:val="0"/>
          <w:sz w:val="32"/>
          <w:szCs w:val="32"/>
        </w:rPr>
        <w:t>人，举办</w:t>
      </w:r>
      <w:r>
        <w:rPr>
          <w:rFonts w:hint="eastAsia" w:eastAsia="仿宋_GB2312"/>
          <w:kern w:val="0"/>
          <w:sz w:val="32"/>
          <w:szCs w:val="32"/>
          <w:lang w:val="en-US" w:eastAsia="zh-CN"/>
        </w:rPr>
        <w:t>0次</w:t>
      </w:r>
      <w:r>
        <w:rPr>
          <w:rFonts w:eastAsia="仿宋_GB2312"/>
          <w:kern w:val="0"/>
          <w:sz w:val="32"/>
          <w:szCs w:val="32"/>
        </w:rPr>
        <w:t>节庆、晚会、论坛、赛事</w:t>
      </w:r>
      <w:r>
        <w:rPr>
          <w:rFonts w:hint="eastAsia" w:eastAsia="仿宋_GB2312"/>
          <w:kern w:val="0"/>
          <w:sz w:val="32"/>
          <w:szCs w:val="32"/>
          <w:lang w:eastAsia="zh-CN"/>
        </w:rPr>
        <w:t>等</w:t>
      </w:r>
      <w:r>
        <w:rPr>
          <w:rFonts w:eastAsia="仿宋_GB2312"/>
          <w:kern w:val="0"/>
          <w:sz w:val="32"/>
          <w:szCs w:val="32"/>
        </w:rPr>
        <w:t>活动，开</w:t>
      </w:r>
      <w:r>
        <w:rPr>
          <w:rFonts w:hint="eastAsia" w:eastAsia="仿宋_GB2312"/>
          <w:kern w:val="0"/>
          <w:sz w:val="32"/>
          <w:szCs w:val="32"/>
          <w:lang w:eastAsia="zh-CN"/>
        </w:rPr>
        <w:t>支</w:t>
      </w:r>
      <w:r>
        <w:rPr>
          <w:rFonts w:hint="eastAsia" w:eastAsia="仿宋_GB2312"/>
          <w:kern w:val="0"/>
          <w:sz w:val="32"/>
          <w:szCs w:val="32"/>
          <w:lang w:val="en-US" w:eastAsia="zh-CN"/>
        </w:rPr>
        <w:t>0</w:t>
      </w:r>
      <w:r>
        <w:rPr>
          <w:rFonts w:eastAsia="仿宋_GB2312"/>
          <w:kern w:val="0"/>
          <w:sz w:val="32"/>
          <w:szCs w:val="32"/>
        </w:rPr>
        <w:t>万元</w:t>
      </w:r>
      <w:r>
        <w:rPr>
          <w:rFonts w:hint="eastAsia" w:eastAsia="仿宋_GB2312"/>
          <w:kern w:val="0"/>
          <w:sz w:val="32"/>
          <w:szCs w:val="32"/>
          <w:lang w:val="en-US" w:eastAsia="zh-CN"/>
        </w:rPr>
        <w:t>。</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（三）政府采购支出情况</w:t>
      </w:r>
    </w:p>
    <w:p>
      <w:pPr>
        <w:spacing w:line="600" w:lineRule="exact"/>
        <w:ind w:firstLine="640" w:firstLineChars="200"/>
        <w:rPr>
          <w:rFonts w:eastAsia="仿宋_GB2312"/>
          <w:kern w:val="0"/>
          <w:sz w:val="32"/>
          <w:szCs w:val="32"/>
        </w:rPr>
      </w:pPr>
      <w:r>
        <w:rPr>
          <w:rFonts w:eastAsia="仿宋_GB2312"/>
          <w:kern w:val="0"/>
          <w:sz w:val="32"/>
          <w:szCs w:val="32"/>
        </w:rPr>
        <w:t>本部门</w:t>
      </w:r>
      <w:r>
        <w:rPr>
          <w:rFonts w:hint="eastAsia" w:eastAsia="仿宋_GB2312"/>
          <w:kern w:val="0"/>
          <w:sz w:val="32"/>
          <w:szCs w:val="32"/>
          <w:lang w:val="en-US" w:eastAsia="zh-CN"/>
        </w:rPr>
        <w:t>2019</w:t>
      </w:r>
      <w:r>
        <w:rPr>
          <w:rFonts w:eastAsia="仿宋_GB2312"/>
          <w:kern w:val="0"/>
          <w:sz w:val="32"/>
          <w:szCs w:val="32"/>
        </w:rPr>
        <w:t>年度政府采购支出总</w:t>
      </w:r>
      <w:r>
        <w:rPr>
          <w:rFonts w:hint="eastAsia" w:eastAsia="仿宋_GB2312"/>
          <w:kern w:val="0"/>
          <w:sz w:val="32"/>
          <w:szCs w:val="32"/>
          <w:lang w:eastAsia="zh-CN"/>
        </w:rPr>
        <w:t>额</w:t>
      </w:r>
      <w:r>
        <w:rPr>
          <w:rFonts w:hint="eastAsia" w:eastAsia="仿宋_GB2312"/>
          <w:kern w:val="0"/>
          <w:sz w:val="32"/>
          <w:szCs w:val="32"/>
          <w:lang w:val="en-US" w:eastAsia="zh-CN"/>
        </w:rPr>
        <w:t>1</w:t>
      </w:r>
      <w:r>
        <w:rPr>
          <w:rFonts w:eastAsia="仿宋_GB2312"/>
          <w:kern w:val="0"/>
          <w:sz w:val="32"/>
          <w:szCs w:val="32"/>
        </w:rPr>
        <w:t>万元，其中：政府采购货物支</w:t>
      </w:r>
      <w:r>
        <w:rPr>
          <w:rFonts w:hint="eastAsia" w:eastAsia="仿宋_GB2312"/>
          <w:kern w:val="0"/>
          <w:sz w:val="32"/>
          <w:szCs w:val="32"/>
          <w:lang w:eastAsia="zh-CN"/>
        </w:rPr>
        <w:t>出</w:t>
      </w:r>
      <w:r>
        <w:rPr>
          <w:rFonts w:hint="eastAsia" w:eastAsia="仿宋_GB2312"/>
          <w:kern w:val="0"/>
          <w:sz w:val="32"/>
          <w:szCs w:val="32"/>
          <w:lang w:val="en-US" w:eastAsia="zh-CN"/>
        </w:rPr>
        <w:t>1</w:t>
      </w:r>
      <w:r>
        <w:rPr>
          <w:rFonts w:eastAsia="仿宋_GB2312"/>
          <w:kern w:val="0"/>
          <w:sz w:val="32"/>
          <w:szCs w:val="32"/>
        </w:rPr>
        <w:t>万元、政府采购工程支</w:t>
      </w:r>
      <w:r>
        <w:rPr>
          <w:rFonts w:hint="eastAsia" w:eastAsia="仿宋_GB2312"/>
          <w:kern w:val="0"/>
          <w:sz w:val="32"/>
          <w:szCs w:val="32"/>
          <w:lang w:eastAsia="zh-CN"/>
        </w:rPr>
        <w:t>出</w:t>
      </w:r>
      <w:r>
        <w:rPr>
          <w:rFonts w:hint="eastAsia" w:eastAsia="仿宋_GB2312"/>
          <w:kern w:val="0"/>
          <w:sz w:val="32"/>
          <w:szCs w:val="32"/>
          <w:lang w:val="en-US" w:eastAsia="zh-CN"/>
        </w:rPr>
        <w:t>0</w:t>
      </w:r>
      <w:r>
        <w:rPr>
          <w:rFonts w:eastAsia="仿宋_GB2312"/>
          <w:kern w:val="0"/>
          <w:sz w:val="32"/>
          <w:szCs w:val="32"/>
        </w:rPr>
        <w:t>万元、政府采购服务支</w:t>
      </w:r>
      <w:r>
        <w:rPr>
          <w:rFonts w:hint="eastAsia" w:eastAsia="仿宋_GB2312"/>
          <w:kern w:val="0"/>
          <w:sz w:val="32"/>
          <w:szCs w:val="32"/>
          <w:lang w:eastAsia="zh-CN"/>
        </w:rPr>
        <w:t>出</w:t>
      </w:r>
      <w:r>
        <w:rPr>
          <w:rFonts w:hint="eastAsia" w:eastAsia="仿宋_GB2312"/>
          <w:kern w:val="0"/>
          <w:sz w:val="32"/>
          <w:szCs w:val="32"/>
          <w:lang w:val="en-US" w:eastAsia="zh-CN"/>
        </w:rPr>
        <w:t>0</w:t>
      </w:r>
      <w:r>
        <w:rPr>
          <w:rFonts w:eastAsia="仿宋_GB2312"/>
          <w:kern w:val="0"/>
          <w:sz w:val="32"/>
          <w:szCs w:val="32"/>
        </w:rPr>
        <w:t>万元。授予中小企业合同金</w:t>
      </w:r>
      <w:r>
        <w:rPr>
          <w:rFonts w:hint="eastAsia" w:eastAsia="仿宋_GB2312"/>
          <w:kern w:val="0"/>
          <w:sz w:val="32"/>
          <w:szCs w:val="32"/>
          <w:lang w:eastAsia="zh-CN"/>
        </w:rPr>
        <w:t>额</w:t>
      </w:r>
      <w:r>
        <w:rPr>
          <w:rFonts w:hint="eastAsia" w:eastAsia="仿宋_GB2312"/>
          <w:kern w:val="0"/>
          <w:sz w:val="32"/>
          <w:szCs w:val="32"/>
          <w:lang w:val="en-US" w:eastAsia="zh-CN"/>
        </w:rPr>
        <w:t>0</w:t>
      </w:r>
      <w:r>
        <w:rPr>
          <w:rFonts w:eastAsia="仿宋_GB2312"/>
          <w:kern w:val="0"/>
          <w:sz w:val="32"/>
          <w:szCs w:val="32"/>
        </w:rPr>
        <w:t>万元，占政府采购支出总额</w:t>
      </w:r>
      <w:r>
        <w:rPr>
          <w:rFonts w:hint="eastAsia" w:eastAsia="仿宋_GB2312"/>
          <w:kern w:val="0"/>
          <w:sz w:val="32"/>
          <w:szCs w:val="32"/>
          <w:lang w:eastAsia="zh-CN"/>
        </w:rPr>
        <w:t>的</w:t>
      </w:r>
      <w:r>
        <w:rPr>
          <w:rFonts w:hint="eastAsia" w:eastAsia="仿宋_GB2312"/>
          <w:kern w:val="0"/>
          <w:sz w:val="32"/>
          <w:szCs w:val="32"/>
          <w:lang w:val="en-US" w:eastAsia="zh-CN"/>
        </w:rPr>
        <w:t>0</w:t>
      </w:r>
      <w:r>
        <w:rPr>
          <w:rFonts w:eastAsia="仿宋_GB2312"/>
          <w:kern w:val="0"/>
          <w:sz w:val="32"/>
          <w:szCs w:val="32"/>
        </w:rPr>
        <w:t xml:space="preserve"> %，其中：授予小微企业合同</w:t>
      </w:r>
      <w:r>
        <w:rPr>
          <w:rFonts w:hint="eastAsia" w:eastAsia="仿宋_GB2312"/>
          <w:kern w:val="0"/>
          <w:sz w:val="32"/>
          <w:szCs w:val="32"/>
          <w:lang w:eastAsia="zh-CN"/>
        </w:rPr>
        <w:t>金额</w:t>
      </w:r>
      <w:r>
        <w:rPr>
          <w:rFonts w:hint="eastAsia" w:eastAsia="仿宋_GB2312"/>
          <w:kern w:val="0"/>
          <w:sz w:val="32"/>
          <w:szCs w:val="32"/>
          <w:lang w:val="en-US" w:eastAsia="zh-CN"/>
        </w:rPr>
        <w:t>0</w:t>
      </w:r>
      <w:r>
        <w:rPr>
          <w:rFonts w:eastAsia="仿宋_GB2312"/>
          <w:kern w:val="0"/>
          <w:sz w:val="32"/>
          <w:szCs w:val="32"/>
        </w:rPr>
        <w:t>万元，占政府采购支出总额</w:t>
      </w:r>
      <w:r>
        <w:rPr>
          <w:rFonts w:hint="eastAsia" w:eastAsia="仿宋_GB2312"/>
          <w:kern w:val="0"/>
          <w:sz w:val="32"/>
          <w:szCs w:val="32"/>
          <w:lang w:eastAsia="zh-CN"/>
        </w:rPr>
        <w:t>的</w:t>
      </w:r>
      <w:r>
        <w:rPr>
          <w:rFonts w:hint="eastAsia" w:eastAsia="仿宋_GB2312"/>
          <w:kern w:val="0"/>
          <w:sz w:val="32"/>
          <w:szCs w:val="32"/>
          <w:lang w:val="en-US" w:eastAsia="zh-CN"/>
        </w:rPr>
        <w:t>0</w:t>
      </w:r>
      <w:r>
        <w:rPr>
          <w:rFonts w:eastAsia="仿宋_GB2312"/>
          <w:kern w:val="0"/>
          <w:sz w:val="32"/>
          <w:szCs w:val="32"/>
        </w:rPr>
        <w:t xml:space="preserve"> %。</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（四）国有资产占用情况</w:t>
      </w:r>
    </w:p>
    <w:p>
      <w:pPr>
        <w:spacing w:line="600" w:lineRule="exact"/>
        <w:ind w:firstLine="640" w:firstLineChars="200"/>
        <w:rPr>
          <w:rFonts w:eastAsia="仿宋_GB2312"/>
          <w:kern w:val="0"/>
          <w:sz w:val="32"/>
          <w:szCs w:val="32"/>
        </w:rPr>
      </w:pPr>
      <w:r>
        <w:rPr>
          <w:rFonts w:eastAsia="仿宋_GB2312"/>
          <w:kern w:val="0"/>
          <w:sz w:val="32"/>
          <w:szCs w:val="32"/>
        </w:rPr>
        <w:t>截至</w:t>
      </w:r>
      <w:r>
        <w:rPr>
          <w:rFonts w:hint="eastAsia" w:eastAsia="仿宋_GB2312"/>
          <w:kern w:val="0"/>
          <w:sz w:val="32"/>
          <w:szCs w:val="32"/>
          <w:lang w:val="en-US" w:eastAsia="zh-CN"/>
        </w:rPr>
        <w:t>2019</w:t>
      </w:r>
      <w:r>
        <w:rPr>
          <w:rFonts w:eastAsia="仿宋_GB2312"/>
          <w:kern w:val="0"/>
          <w:sz w:val="32"/>
          <w:szCs w:val="32"/>
        </w:rPr>
        <w:t>年12月31日，</w:t>
      </w:r>
      <w:r>
        <w:rPr>
          <w:rFonts w:hint="eastAsia" w:eastAsia="仿宋_GB2312"/>
          <w:kern w:val="0"/>
          <w:sz w:val="32"/>
          <w:szCs w:val="32"/>
          <w:lang w:val="en-US" w:eastAsia="zh-CN"/>
        </w:rPr>
        <w:t>我单位固定资产帐面价为1711994.92元，其中:房屋面积1453平方米，帐面价值1689930.18元，办公桌椅净值8136.74元，电脑、空调、乐器净值13928元。</w:t>
      </w:r>
      <w:r>
        <w:rPr>
          <w:rFonts w:eastAsia="仿宋_GB2312"/>
          <w:kern w:val="0"/>
          <w:sz w:val="32"/>
          <w:szCs w:val="32"/>
        </w:rPr>
        <w:t>本单位共有车</w:t>
      </w:r>
      <w:r>
        <w:rPr>
          <w:rFonts w:hint="eastAsia" w:eastAsia="仿宋_GB2312"/>
          <w:kern w:val="0"/>
          <w:sz w:val="32"/>
          <w:szCs w:val="32"/>
          <w:lang w:eastAsia="zh-CN"/>
        </w:rPr>
        <w:t>辆</w:t>
      </w:r>
      <w:r>
        <w:rPr>
          <w:rFonts w:hint="eastAsia" w:eastAsia="仿宋_GB2312"/>
          <w:kern w:val="0"/>
          <w:sz w:val="32"/>
          <w:szCs w:val="32"/>
          <w:lang w:val="en-US" w:eastAsia="zh-CN"/>
        </w:rPr>
        <w:t>0</w:t>
      </w:r>
      <w:r>
        <w:rPr>
          <w:rFonts w:eastAsia="仿宋_GB2312"/>
          <w:kern w:val="0"/>
          <w:sz w:val="32"/>
          <w:szCs w:val="32"/>
        </w:rPr>
        <w:t>辆，其中，领导干部用</w:t>
      </w:r>
      <w:r>
        <w:rPr>
          <w:rFonts w:hint="eastAsia" w:eastAsia="仿宋_GB2312"/>
          <w:kern w:val="0"/>
          <w:sz w:val="32"/>
          <w:szCs w:val="32"/>
          <w:lang w:eastAsia="zh-CN"/>
        </w:rPr>
        <w:t>车</w:t>
      </w:r>
      <w:r>
        <w:rPr>
          <w:rFonts w:hint="eastAsia" w:eastAsia="仿宋_GB2312"/>
          <w:kern w:val="0"/>
          <w:sz w:val="32"/>
          <w:szCs w:val="32"/>
          <w:lang w:val="en-US" w:eastAsia="zh-CN"/>
        </w:rPr>
        <w:t>0</w:t>
      </w:r>
      <w:r>
        <w:rPr>
          <w:rFonts w:eastAsia="仿宋_GB2312"/>
          <w:kern w:val="0"/>
          <w:sz w:val="32"/>
          <w:szCs w:val="32"/>
        </w:rPr>
        <w:t>辆、机要通信用</w:t>
      </w:r>
      <w:r>
        <w:rPr>
          <w:rFonts w:hint="eastAsia" w:eastAsia="仿宋_GB2312"/>
          <w:kern w:val="0"/>
          <w:sz w:val="32"/>
          <w:szCs w:val="32"/>
          <w:lang w:eastAsia="zh-CN"/>
        </w:rPr>
        <w:t>车</w:t>
      </w:r>
      <w:r>
        <w:rPr>
          <w:rFonts w:hint="eastAsia" w:eastAsia="仿宋_GB2312"/>
          <w:kern w:val="0"/>
          <w:sz w:val="32"/>
          <w:szCs w:val="32"/>
          <w:lang w:val="en-US" w:eastAsia="zh-CN"/>
        </w:rPr>
        <w:t>0</w:t>
      </w:r>
      <w:r>
        <w:rPr>
          <w:rFonts w:eastAsia="仿宋_GB2312"/>
          <w:kern w:val="0"/>
          <w:sz w:val="32"/>
          <w:szCs w:val="32"/>
        </w:rPr>
        <w:t>辆、应急保障用</w:t>
      </w:r>
      <w:r>
        <w:rPr>
          <w:rFonts w:hint="eastAsia" w:eastAsia="仿宋_GB2312"/>
          <w:kern w:val="0"/>
          <w:sz w:val="32"/>
          <w:szCs w:val="32"/>
          <w:lang w:eastAsia="zh-CN"/>
        </w:rPr>
        <w:t>车</w:t>
      </w:r>
      <w:r>
        <w:rPr>
          <w:rFonts w:hint="eastAsia" w:eastAsia="仿宋_GB2312"/>
          <w:kern w:val="0"/>
          <w:sz w:val="32"/>
          <w:szCs w:val="32"/>
          <w:lang w:val="en-US" w:eastAsia="zh-CN"/>
        </w:rPr>
        <w:t>0</w:t>
      </w:r>
      <w:r>
        <w:rPr>
          <w:rFonts w:eastAsia="仿宋_GB2312"/>
          <w:kern w:val="0"/>
          <w:sz w:val="32"/>
          <w:szCs w:val="32"/>
        </w:rPr>
        <w:t>辆、执法执勤用</w:t>
      </w:r>
      <w:r>
        <w:rPr>
          <w:rFonts w:hint="eastAsia" w:eastAsia="仿宋_GB2312"/>
          <w:kern w:val="0"/>
          <w:sz w:val="32"/>
          <w:szCs w:val="32"/>
          <w:lang w:eastAsia="zh-CN"/>
        </w:rPr>
        <w:t>车</w:t>
      </w:r>
      <w:r>
        <w:rPr>
          <w:rFonts w:hint="eastAsia" w:eastAsia="仿宋_GB2312"/>
          <w:kern w:val="0"/>
          <w:sz w:val="32"/>
          <w:szCs w:val="32"/>
          <w:lang w:val="en-US" w:eastAsia="zh-CN"/>
        </w:rPr>
        <w:t>0</w:t>
      </w:r>
      <w:r>
        <w:rPr>
          <w:rFonts w:eastAsia="仿宋_GB2312"/>
          <w:kern w:val="0"/>
          <w:sz w:val="32"/>
          <w:szCs w:val="32"/>
        </w:rPr>
        <w:t>辆、特种专业技术用</w:t>
      </w:r>
      <w:r>
        <w:rPr>
          <w:rFonts w:hint="eastAsia" w:eastAsia="仿宋_GB2312"/>
          <w:kern w:val="0"/>
          <w:sz w:val="32"/>
          <w:szCs w:val="32"/>
          <w:lang w:eastAsia="zh-CN"/>
        </w:rPr>
        <w:t>车</w:t>
      </w:r>
      <w:r>
        <w:rPr>
          <w:rFonts w:hint="eastAsia" w:eastAsia="仿宋_GB2312"/>
          <w:kern w:val="0"/>
          <w:sz w:val="32"/>
          <w:szCs w:val="32"/>
          <w:lang w:val="en-US" w:eastAsia="zh-CN"/>
        </w:rPr>
        <w:t>0</w:t>
      </w:r>
      <w:r>
        <w:rPr>
          <w:rFonts w:eastAsia="仿宋_GB2312"/>
          <w:kern w:val="0"/>
          <w:sz w:val="32"/>
          <w:szCs w:val="32"/>
        </w:rPr>
        <w:t>辆、其他用</w:t>
      </w:r>
      <w:r>
        <w:rPr>
          <w:rFonts w:hint="eastAsia" w:eastAsia="仿宋_GB2312"/>
          <w:kern w:val="0"/>
          <w:sz w:val="32"/>
          <w:szCs w:val="32"/>
          <w:lang w:eastAsia="zh-CN"/>
        </w:rPr>
        <w:t>车</w:t>
      </w:r>
      <w:r>
        <w:rPr>
          <w:rFonts w:hint="eastAsia" w:eastAsia="仿宋_GB2312"/>
          <w:kern w:val="0"/>
          <w:sz w:val="32"/>
          <w:szCs w:val="32"/>
          <w:lang w:val="en-US" w:eastAsia="zh-CN"/>
        </w:rPr>
        <w:t>0</w:t>
      </w:r>
      <w:r>
        <w:rPr>
          <w:rFonts w:eastAsia="仿宋_GB2312"/>
          <w:kern w:val="0"/>
          <w:sz w:val="32"/>
          <w:szCs w:val="32"/>
        </w:rPr>
        <w:t>辆，</w:t>
      </w:r>
      <w:r>
        <w:rPr>
          <w:rFonts w:hint="eastAsia" w:eastAsia="仿宋_GB2312"/>
          <w:kern w:val="0"/>
          <w:sz w:val="32"/>
          <w:szCs w:val="32"/>
          <w:lang w:eastAsia="zh-CN"/>
        </w:rPr>
        <w:t>无</w:t>
      </w:r>
      <w:r>
        <w:rPr>
          <w:rFonts w:eastAsia="仿宋_GB2312"/>
          <w:kern w:val="0"/>
          <w:sz w:val="32"/>
          <w:szCs w:val="32"/>
        </w:rPr>
        <w:t>其他用车主要</w:t>
      </w:r>
      <w:r>
        <w:rPr>
          <w:rFonts w:hint="eastAsia" w:eastAsia="仿宋_GB2312"/>
          <w:kern w:val="0"/>
          <w:sz w:val="32"/>
          <w:szCs w:val="32"/>
          <w:lang w:val="en-US" w:eastAsia="zh-CN"/>
        </w:rPr>
        <w:t>0</w:t>
      </w:r>
      <w:r>
        <w:rPr>
          <w:rFonts w:eastAsia="仿宋_GB2312"/>
          <w:kern w:val="0"/>
          <w:sz w:val="32"/>
          <w:szCs w:val="32"/>
        </w:rPr>
        <w:t>；单位价值50万元以上通用设</w:t>
      </w:r>
      <w:r>
        <w:rPr>
          <w:rFonts w:hint="eastAsia" w:eastAsia="仿宋_GB2312"/>
          <w:kern w:val="0"/>
          <w:sz w:val="32"/>
          <w:szCs w:val="32"/>
          <w:lang w:eastAsia="zh-CN"/>
        </w:rPr>
        <w:t>备</w:t>
      </w:r>
      <w:r>
        <w:rPr>
          <w:rFonts w:hint="eastAsia" w:eastAsia="仿宋_GB2312"/>
          <w:kern w:val="0"/>
          <w:sz w:val="32"/>
          <w:szCs w:val="32"/>
          <w:lang w:val="en-US" w:eastAsia="zh-CN"/>
        </w:rPr>
        <w:t>0</w:t>
      </w:r>
      <w:r>
        <w:rPr>
          <w:rFonts w:eastAsia="仿宋_GB2312"/>
          <w:kern w:val="0"/>
          <w:sz w:val="32"/>
          <w:szCs w:val="32"/>
        </w:rPr>
        <w:t>台（套）；单位价值100万元以上专用设</w:t>
      </w:r>
      <w:r>
        <w:rPr>
          <w:rFonts w:hint="eastAsia" w:eastAsia="仿宋_GB2312"/>
          <w:kern w:val="0"/>
          <w:sz w:val="32"/>
          <w:szCs w:val="32"/>
          <w:lang w:eastAsia="zh-CN"/>
        </w:rPr>
        <w:t>备</w:t>
      </w:r>
      <w:r>
        <w:rPr>
          <w:rFonts w:hint="eastAsia" w:eastAsia="仿宋_GB2312"/>
          <w:kern w:val="0"/>
          <w:sz w:val="32"/>
          <w:szCs w:val="32"/>
          <w:lang w:val="en-US" w:eastAsia="zh-CN"/>
        </w:rPr>
        <w:t>0</w:t>
      </w:r>
      <w:r>
        <w:rPr>
          <w:rFonts w:eastAsia="仿宋_GB2312"/>
          <w:kern w:val="0"/>
          <w:sz w:val="32"/>
          <w:szCs w:val="32"/>
        </w:rPr>
        <w:t>台（套）。</w:t>
      </w:r>
    </w:p>
    <w:p>
      <w:pPr>
        <w:widowControl/>
        <w:spacing w:line="600" w:lineRule="exact"/>
        <w:jc w:val="center"/>
        <w:rPr>
          <w:rFonts w:hint="eastAsia" w:eastAsia="方正小标宋_GBK"/>
          <w:bCs/>
          <w:kern w:val="0"/>
          <w:sz w:val="36"/>
          <w:szCs w:val="36"/>
        </w:rPr>
      </w:pPr>
      <w:r>
        <w:rPr>
          <w:rFonts w:hint="eastAsia" w:eastAsia="方正小标宋_GBK"/>
          <w:bCs/>
          <w:kern w:val="0"/>
          <w:sz w:val="36"/>
          <w:szCs w:val="36"/>
        </w:rPr>
        <w:t>第四部分 名词解释</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1、机关运行经费：是指公用经费，包括办公及印刷费、邮电费、差旅费、会议费、福利费、日常维修费、专用资料及一般设备购置费、办公用房水电费、办公用房取暖费、办公用房物业管理费、公务用车运行维护费以及其他费用。</w:t>
      </w:r>
    </w:p>
    <w:p>
      <w:pPr>
        <w:spacing w:line="600" w:lineRule="exact"/>
        <w:ind w:firstLine="640" w:firstLineChars="200"/>
        <w:rPr>
          <w:rFonts w:eastAsia="仿宋_GB2312"/>
          <w:kern w:val="0"/>
          <w:sz w:val="32"/>
          <w:szCs w:val="32"/>
        </w:rPr>
      </w:pPr>
      <w:r>
        <w:rPr>
          <w:rFonts w:hint="eastAsia" w:eastAsia="仿宋_GB2312"/>
          <w:kern w:val="0"/>
          <w:sz w:val="32"/>
          <w:szCs w:val="32"/>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spacing w:line="600" w:lineRule="exact"/>
        <w:jc w:val="center"/>
        <w:rPr>
          <w:rFonts w:hint="eastAsia" w:ascii="黑体" w:eastAsia="黑体" w:cs="黑体"/>
          <w:color w:val="000000"/>
          <w:kern w:val="0"/>
          <w:sz w:val="70"/>
          <w:szCs w:val="70"/>
        </w:rPr>
      </w:pPr>
      <w:r>
        <w:rPr>
          <w:rFonts w:hint="eastAsia" w:eastAsia="方正小标宋_GBK"/>
          <w:bCs/>
          <w:kern w:val="0"/>
          <w:sz w:val="36"/>
          <w:szCs w:val="36"/>
        </w:rPr>
        <w:t>第五部分 附件</w:t>
      </w:r>
    </w:p>
    <w:p>
      <w:pPr>
        <w:ind w:firstLine="640" w:firstLineChars="200"/>
        <w:jc w:val="left"/>
        <w:rPr>
          <w:rFonts w:hint="eastAsia" w:ascii="黑体" w:hAnsi="黑体" w:eastAsia="黑体" w:cs="黑体"/>
          <w:color w:val="000000"/>
          <w:kern w:val="0"/>
          <w:sz w:val="32"/>
          <w:szCs w:val="32"/>
        </w:rPr>
      </w:pPr>
      <w:r>
        <w:rPr>
          <w:rFonts w:hint="eastAsia" w:ascii="黑体" w:hAnsi="黑体" w:eastAsia="黑体"/>
          <w:kern w:val="0"/>
          <w:sz w:val="32"/>
          <w:szCs w:val="32"/>
          <w:lang w:val="en-US" w:eastAsia="zh-CN"/>
        </w:rPr>
        <w:t>2019</w:t>
      </w:r>
      <w:r>
        <w:rPr>
          <w:rFonts w:hint="eastAsia" w:ascii="黑体" w:hAnsi="黑体" w:eastAsia="黑体" w:cs="黑体"/>
          <w:color w:val="000000"/>
          <w:kern w:val="0"/>
          <w:sz w:val="32"/>
          <w:szCs w:val="32"/>
        </w:rPr>
        <w:t>年度部门整体支出绩效评价报告</w:t>
      </w:r>
    </w:p>
    <w:p>
      <w:pPr>
        <w:adjustRightInd w:val="0"/>
        <w:spacing w:line="600" w:lineRule="exact"/>
        <w:ind w:right="641"/>
        <w:jc w:val="center"/>
        <w:rPr>
          <w:rFonts w:eastAsia="黑体"/>
          <w:b/>
          <w:sz w:val="44"/>
          <w:szCs w:val="44"/>
        </w:rPr>
      </w:pPr>
      <w:r>
        <w:rPr>
          <w:rFonts w:hint="eastAsia" w:eastAsia="黑体"/>
          <w:b/>
          <w:sz w:val="44"/>
          <w:szCs w:val="44"/>
        </w:rPr>
        <w:t>部门整体支出绩效评价报告</w:t>
      </w:r>
    </w:p>
    <w:p>
      <w:pPr>
        <w:adjustRightInd w:val="0"/>
        <w:snapToGrid w:val="0"/>
        <w:spacing w:line="600" w:lineRule="exact"/>
        <w:ind w:firstLine="602" w:firstLineChars="200"/>
        <w:rPr>
          <w:rFonts w:hint="eastAsia" w:ascii="黑体" w:hAnsi="黑体" w:eastAsia="黑体"/>
          <w:b/>
          <w:sz w:val="30"/>
          <w:szCs w:val="30"/>
        </w:rPr>
      </w:pPr>
    </w:p>
    <w:p>
      <w:pPr>
        <w:adjustRightInd w:val="0"/>
        <w:snapToGrid w:val="0"/>
        <w:spacing w:line="600" w:lineRule="exact"/>
        <w:ind w:firstLine="602" w:firstLineChars="200"/>
        <w:rPr>
          <w:rFonts w:ascii="黑体" w:hAnsi="黑体" w:eastAsia="黑体"/>
          <w:b/>
          <w:sz w:val="30"/>
          <w:szCs w:val="30"/>
        </w:rPr>
      </w:pPr>
      <w:r>
        <w:rPr>
          <w:rFonts w:ascii="黑体" w:hAnsi="黑体" w:eastAsia="黑体"/>
          <w:b/>
          <w:sz w:val="30"/>
          <w:szCs w:val="30"/>
        </w:rPr>
        <w:t>一、</w:t>
      </w:r>
      <w:r>
        <w:rPr>
          <w:rFonts w:hint="eastAsia" w:ascii="黑体" w:hAnsi="黑体" w:eastAsia="黑体"/>
          <w:b/>
          <w:sz w:val="30"/>
          <w:szCs w:val="30"/>
        </w:rPr>
        <w:t>部门</w:t>
      </w:r>
      <w:r>
        <w:rPr>
          <w:rFonts w:ascii="黑体" w:hAnsi="黑体" w:eastAsia="黑体"/>
          <w:b/>
          <w:sz w:val="30"/>
          <w:szCs w:val="30"/>
        </w:rPr>
        <w:t>概况</w:t>
      </w:r>
    </w:p>
    <w:p>
      <w:pPr>
        <w:pStyle w:val="14"/>
        <w:spacing w:after="0" w:line="641" w:lineRule="atLeast"/>
        <w:ind w:firstLine="641"/>
        <w:rPr>
          <w:rFonts w:hint="eastAsia" w:ascii="仿宋" w:hAnsi="仿宋" w:eastAsia="仿宋"/>
          <w:b/>
          <w:sz w:val="30"/>
          <w:szCs w:val="30"/>
        </w:rPr>
      </w:pPr>
      <w:r>
        <w:rPr>
          <w:rFonts w:hint="eastAsia" w:ascii="仿宋" w:hAnsi="仿宋" w:eastAsia="仿宋"/>
          <w:b/>
          <w:sz w:val="30"/>
          <w:szCs w:val="30"/>
        </w:rPr>
        <w:t>（一）部门基本情况</w:t>
      </w:r>
    </w:p>
    <w:p>
      <w:pPr>
        <w:widowControl/>
        <w:shd w:val="clear" w:color="auto" w:fill="FFFFFF"/>
        <w:spacing w:line="450" w:lineRule="atLeast"/>
        <w:ind w:firstLine="560"/>
        <w:rPr>
          <w:rFonts w:hint="eastAsia" w:ascii="仿宋" w:hAnsi="仿宋" w:eastAsia="仿宋"/>
          <w:kern w:val="0"/>
          <w:sz w:val="30"/>
          <w:szCs w:val="30"/>
          <w:shd w:val="clear" w:color="auto" w:fill="FFFFFF"/>
          <w:lang w:eastAsia="zh-CN"/>
        </w:rPr>
      </w:pPr>
      <w:r>
        <w:rPr>
          <w:rFonts w:hint="eastAsia" w:ascii="仿宋" w:hAnsi="仿宋" w:eastAsia="仿宋"/>
          <w:kern w:val="0"/>
          <w:sz w:val="30"/>
          <w:szCs w:val="30"/>
          <w:shd w:val="clear" w:color="auto" w:fill="FFFFFF"/>
        </w:rPr>
        <w:t>洞口县</w:t>
      </w:r>
      <w:r>
        <w:rPr>
          <w:rFonts w:hint="eastAsia" w:ascii="仿宋" w:hAnsi="仿宋" w:eastAsia="仿宋"/>
          <w:kern w:val="0"/>
          <w:sz w:val="30"/>
          <w:szCs w:val="30"/>
          <w:shd w:val="clear" w:color="auto" w:fill="FFFFFF"/>
          <w:lang w:eastAsia="zh-CN"/>
        </w:rPr>
        <w:t>文化馆馆</w:t>
      </w:r>
      <w:r>
        <w:rPr>
          <w:rFonts w:hint="eastAsia" w:ascii="仿宋" w:hAnsi="仿宋" w:eastAsia="仿宋"/>
          <w:kern w:val="0"/>
          <w:sz w:val="30"/>
          <w:szCs w:val="30"/>
          <w:shd w:val="clear" w:color="auto" w:fill="FFFFFF"/>
        </w:rPr>
        <w:t>，在职职工</w:t>
      </w:r>
      <w:r>
        <w:rPr>
          <w:rFonts w:hint="eastAsia" w:ascii="仿宋" w:hAnsi="仿宋" w:eastAsia="仿宋"/>
          <w:kern w:val="0"/>
          <w:sz w:val="30"/>
          <w:szCs w:val="30"/>
          <w:shd w:val="clear" w:color="auto" w:fill="FFFFFF"/>
          <w:lang w:val="en-US" w:eastAsia="zh-CN"/>
        </w:rPr>
        <w:t>13</w:t>
      </w:r>
      <w:r>
        <w:rPr>
          <w:rFonts w:hint="eastAsia" w:ascii="仿宋" w:hAnsi="仿宋" w:eastAsia="仿宋"/>
          <w:kern w:val="0"/>
          <w:sz w:val="30"/>
          <w:szCs w:val="30"/>
          <w:shd w:val="clear" w:color="auto" w:fill="FFFFFF"/>
        </w:rPr>
        <w:t>人。</w:t>
      </w:r>
      <w:r>
        <w:rPr>
          <w:rFonts w:hint="eastAsia" w:ascii="仿宋" w:hAnsi="仿宋" w:eastAsia="仿宋"/>
          <w:kern w:val="0"/>
          <w:sz w:val="30"/>
          <w:szCs w:val="30"/>
          <w:shd w:val="clear" w:color="auto" w:fill="FFFFFF"/>
          <w:lang w:eastAsia="zh-CN"/>
        </w:rPr>
        <w:t>内设办公室等一个股室。</w:t>
      </w:r>
    </w:p>
    <w:p>
      <w:pPr>
        <w:widowControl/>
        <w:shd w:val="clear" w:color="auto" w:fill="FFFFFF"/>
        <w:spacing w:line="450" w:lineRule="atLeast"/>
        <w:ind w:firstLine="560"/>
        <w:rPr>
          <w:rFonts w:hint="eastAsia" w:ascii="仿宋" w:hAnsi="仿宋" w:eastAsia="仿宋"/>
          <w:kern w:val="0"/>
          <w:sz w:val="30"/>
          <w:szCs w:val="30"/>
          <w:shd w:val="clear" w:color="auto" w:fill="FFFFFF"/>
          <w:lang w:eastAsia="zh-CN"/>
        </w:rPr>
      </w:pPr>
      <w:r>
        <w:rPr>
          <w:rFonts w:hint="eastAsia" w:ascii="仿宋" w:hAnsi="仿宋" w:eastAsia="仿宋"/>
          <w:kern w:val="0"/>
          <w:sz w:val="30"/>
          <w:szCs w:val="30"/>
          <w:shd w:val="clear" w:color="auto" w:fill="FFFFFF"/>
        </w:rPr>
        <w:t>部门职能职责：组织群众文化活动，繁荣群众文化事业文化宣传，文艺活动组织，相关培训，业余创作团体管理，业余文艺创作，组织民族民间文化艺术遗产收集整理与保护</w:t>
      </w:r>
      <w:r>
        <w:rPr>
          <w:rFonts w:hint="eastAsia" w:ascii="仿宋" w:hAnsi="仿宋" w:eastAsia="仿宋"/>
          <w:kern w:val="0"/>
          <w:sz w:val="30"/>
          <w:szCs w:val="30"/>
          <w:shd w:val="clear" w:color="auto" w:fill="FFFFFF"/>
          <w:lang w:eastAsia="zh-CN"/>
        </w:rPr>
        <w:t>。</w:t>
      </w:r>
    </w:p>
    <w:p>
      <w:pPr>
        <w:widowControl/>
        <w:shd w:val="clear" w:color="auto" w:fill="FFFFFF"/>
        <w:spacing w:line="450" w:lineRule="atLeast"/>
        <w:ind w:firstLine="560"/>
        <w:rPr>
          <w:rFonts w:hint="eastAsia" w:ascii="仿宋" w:hAnsi="仿宋" w:eastAsia="仿宋"/>
          <w:b/>
          <w:kern w:val="0"/>
          <w:sz w:val="30"/>
          <w:szCs w:val="30"/>
          <w:shd w:val="clear" w:color="auto" w:fill="FFFFFF"/>
        </w:rPr>
      </w:pPr>
      <w:r>
        <w:rPr>
          <w:rFonts w:hint="eastAsia" w:ascii="仿宋" w:hAnsi="仿宋" w:eastAsia="仿宋"/>
          <w:b/>
          <w:bCs/>
          <w:kern w:val="0"/>
          <w:sz w:val="30"/>
          <w:szCs w:val="30"/>
          <w:shd w:val="clear" w:color="auto" w:fill="FFFFFF"/>
        </w:rPr>
        <w:t>（</w:t>
      </w:r>
      <w:r>
        <w:rPr>
          <w:rFonts w:hint="eastAsia" w:ascii="仿宋" w:hAnsi="仿宋" w:eastAsia="仿宋" w:cs="宋体"/>
          <w:b/>
          <w:bCs/>
          <w:sz w:val="30"/>
          <w:szCs w:val="30"/>
        </w:rPr>
        <w:t>二）</w:t>
      </w:r>
      <w:r>
        <w:rPr>
          <w:rFonts w:hint="eastAsia" w:ascii="仿宋" w:hAnsi="仿宋" w:eastAsia="仿宋" w:cs="宋体"/>
          <w:b/>
          <w:sz w:val="30"/>
          <w:szCs w:val="30"/>
        </w:rPr>
        <w:t>部门整体支出情况</w:t>
      </w:r>
    </w:p>
    <w:p>
      <w:pPr>
        <w:widowControl/>
        <w:shd w:val="clear" w:color="auto" w:fill="FFFFFF"/>
        <w:spacing w:line="450" w:lineRule="atLeast"/>
        <w:ind w:firstLine="560"/>
        <w:rPr>
          <w:rFonts w:hint="eastAsia" w:ascii="仿宋" w:hAnsi="仿宋" w:eastAsia="仿宋"/>
          <w:kern w:val="0"/>
          <w:sz w:val="30"/>
          <w:szCs w:val="30"/>
          <w:shd w:val="clear" w:color="auto" w:fill="FFFFFF"/>
        </w:rPr>
      </w:pPr>
      <w:r>
        <w:rPr>
          <w:rFonts w:hint="eastAsia" w:ascii="仿宋" w:hAnsi="仿宋" w:eastAsia="仿宋"/>
          <w:kern w:val="0"/>
          <w:sz w:val="30"/>
          <w:szCs w:val="30"/>
          <w:shd w:val="clear" w:color="auto" w:fill="FFFFFF"/>
        </w:rPr>
        <w:t>我单位201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年总支出为</w:t>
      </w:r>
      <w:r>
        <w:rPr>
          <w:rFonts w:hint="eastAsia" w:ascii="仿宋" w:hAnsi="仿宋" w:eastAsia="仿宋"/>
          <w:kern w:val="0"/>
          <w:sz w:val="30"/>
          <w:szCs w:val="30"/>
          <w:shd w:val="clear" w:color="auto" w:fill="FFFFFF"/>
          <w:lang w:val="en-US" w:eastAsia="zh-CN"/>
        </w:rPr>
        <w:t>222.71</w:t>
      </w:r>
      <w:r>
        <w:rPr>
          <w:rFonts w:hint="eastAsia" w:ascii="仿宋" w:hAnsi="仿宋" w:eastAsia="仿宋"/>
          <w:kern w:val="0"/>
          <w:sz w:val="30"/>
          <w:szCs w:val="30"/>
          <w:shd w:val="clear" w:color="auto" w:fill="FFFFFF"/>
        </w:rPr>
        <w:t>万元，基本支出</w:t>
      </w:r>
      <w:r>
        <w:rPr>
          <w:rFonts w:hint="eastAsia" w:ascii="仿宋" w:hAnsi="仿宋" w:eastAsia="仿宋"/>
          <w:kern w:val="0"/>
          <w:sz w:val="30"/>
          <w:szCs w:val="30"/>
          <w:shd w:val="clear" w:color="auto" w:fill="FFFFFF"/>
          <w:lang w:val="en-US" w:eastAsia="zh-CN"/>
        </w:rPr>
        <w:t>222.71</w:t>
      </w:r>
      <w:r>
        <w:rPr>
          <w:rFonts w:hint="eastAsia" w:ascii="仿宋" w:hAnsi="仿宋" w:eastAsia="仿宋"/>
          <w:kern w:val="0"/>
          <w:sz w:val="30"/>
          <w:szCs w:val="30"/>
          <w:shd w:val="clear" w:color="auto" w:fill="FFFFFF"/>
        </w:rPr>
        <w:t>万元，其中工资福利支出</w:t>
      </w:r>
      <w:r>
        <w:rPr>
          <w:rFonts w:hint="eastAsia" w:ascii="仿宋" w:hAnsi="仿宋" w:eastAsia="仿宋"/>
          <w:kern w:val="0"/>
          <w:sz w:val="30"/>
          <w:szCs w:val="30"/>
          <w:shd w:val="clear" w:color="auto" w:fill="FFFFFF"/>
          <w:lang w:val="en-US" w:eastAsia="zh-CN"/>
        </w:rPr>
        <w:t>137.46</w:t>
      </w:r>
      <w:r>
        <w:rPr>
          <w:rFonts w:hint="eastAsia" w:ascii="仿宋" w:hAnsi="仿宋" w:eastAsia="仿宋"/>
          <w:kern w:val="0"/>
          <w:sz w:val="30"/>
          <w:szCs w:val="30"/>
          <w:shd w:val="clear" w:color="auto" w:fill="FFFFFF"/>
        </w:rPr>
        <w:t>万元、商品和服务支出</w:t>
      </w:r>
      <w:r>
        <w:rPr>
          <w:rFonts w:hint="eastAsia" w:ascii="仿宋" w:hAnsi="仿宋" w:eastAsia="仿宋"/>
          <w:kern w:val="0"/>
          <w:sz w:val="30"/>
          <w:szCs w:val="30"/>
          <w:shd w:val="clear" w:color="auto" w:fill="FFFFFF"/>
          <w:lang w:val="en-US" w:eastAsia="zh-CN"/>
        </w:rPr>
        <w:t>18.81</w:t>
      </w:r>
      <w:r>
        <w:rPr>
          <w:rFonts w:hint="eastAsia" w:ascii="仿宋" w:hAnsi="仿宋" w:eastAsia="仿宋"/>
          <w:kern w:val="0"/>
          <w:sz w:val="30"/>
          <w:szCs w:val="30"/>
          <w:shd w:val="clear" w:color="auto" w:fill="FFFFFF"/>
        </w:rPr>
        <w:t>万元、</w:t>
      </w:r>
      <w:r>
        <w:rPr>
          <w:rFonts w:hint="eastAsia" w:ascii="仿宋" w:hAnsi="仿宋" w:eastAsia="仿宋"/>
          <w:kern w:val="0"/>
          <w:sz w:val="30"/>
          <w:szCs w:val="30"/>
          <w:shd w:val="clear" w:color="auto" w:fill="FFFFFF"/>
          <w:lang w:eastAsia="zh-CN"/>
        </w:rPr>
        <w:t>对个人和家庭的补助</w:t>
      </w:r>
      <w:r>
        <w:rPr>
          <w:rFonts w:hint="eastAsia" w:ascii="仿宋" w:hAnsi="仿宋" w:eastAsia="仿宋"/>
          <w:kern w:val="0"/>
          <w:sz w:val="30"/>
          <w:szCs w:val="30"/>
          <w:shd w:val="clear" w:color="auto" w:fill="FFFFFF"/>
          <w:lang w:val="en-US" w:eastAsia="zh-CN"/>
        </w:rPr>
        <w:t>66.44万元，</w:t>
      </w:r>
      <w:r>
        <w:rPr>
          <w:rFonts w:hint="eastAsia" w:ascii="仿宋" w:hAnsi="仿宋" w:eastAsia="仿宋"/>
          <w:kern w:val="0"/>
          <w:sz w:val="30"/>
          <w:szCs w:val="30"/>
          <w:shd w:val="clear" w:color="auto" w:fill="FFFFFF"/>
          <w:lang w:eastAsia="zh-CN"/>
        </w:rPr>
        <w:t>其他支出</w:t>
      </w:r>
      <w:r>
        <w:rPr>
          <w:rFonts w:hint="eastAsia" w:ascii="仿宋" w:hAnsi="仿宋" w:eastAsia="仿宋"/>
          <w:kern w:val="0"/>
          <w:sz w:val="30"/>
          <w:szCs w:val="30"/>
          <w:shd w:val="clear" w:color="auto" w:fill="FFFFFF"/>
          <w:lang w:val="en-US" w:eastAsia="zh-CN"/>
        </w:rPr>
        <w:t>0</w:t>
      </w:r>
      <w:r>
        <w:rPr>
          <w:rFonts w:hint="eastAsia" w:ascii="仿宋" w:hAnsi="仿宋" w:eastAsia="仿宋"/>
          <w:kern w:val="0"/>
          <w:sz w:val="30"/>
          <w:szCs w:val="30"/>
          <w:shd w:val="clear" w:color="auto" w:fill="FFFFFF"/>
        </w:rPr>
        <w:t>万元；项目支出</w:t>
      </w:r>
      <w:r>
        <w:rPr>
          <w:rFonts w:hint="eastAsia" w:ascii="仿宋" w:hAnsi="仿宋" w:eastAsia="仿宋"/>
          <w:kern w:val="0"/>
          <w:sz w:val="30"/>
          <w:szCs w:val="30"/>
          <w:shd w:val="clear" w:color="auto" w:fill="FFFFFF"/>
          <w:lang w:val="en-US" w:eastAsia="zh-CN"/>
        </w:rPr>
        <w:t>0</w:t>
      </w:r>
      <w:r>
        <w:rPr>
          <w:rFonts w:hint="eastAsia" w:ascii="仿宋" w:hAnsi="仿宋" w:eastAsia="仿宋"/>
          <w:kern w:val="0"/>
          <w:sz w:val="30"/>
          <w:szCs w:val="30"/>
          <w:shd w:val="clear" w:color="auto" w:fill="FFFFFF"/>
        </w:rPr>
        <w:t>万元。</w:t>
      </w:r>
    </w:p>
    <w:p>
      <w:pPr>
        <w:widowControl/>
        <w:shd w:val="clear" w:color="auto" w:fill="FFFFFF"/>
        <w:spacing w:line="450" w:lineRule="atLeast"/>
        <w:ind w:firstLine="560"/>
        <w:rPr>
          <w:rFonts w:ascii="仿宋" w:hAnsi="仿宋" w:eastAsia="仿宋"/>
          <w:b/>
          <w:kern w:val="0"/>
          <w:sz w:val="30"/>
          <w:szCs w:val="30"/>
        </w:rPr>
      </w:pPr>
      <w:r>
        <w:rPr>
          <w:rFonts w:hint="eastAsia" w:ascii="仿宋" w:hAnsi="仿宋" w:eastAsia="仿宋"/>
          <w:b/>
          <w:kern w:val="0"/>
          <w:sz w:val="30"/>
          <w:szCs w:val="30"/>
          <w:shd w:val="clear" w:color="auto" w:fill="FFFFFF"/>
        </w:rPr>
        <w:t>（三）部门内部控制及厉行节约制度建设情况</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1. 加强内部控制。我单位历来重视单位内部管理制度建设及监督，加强财务管理，强化财务监督，增强法纪观念，遵守规章制度。为保证财务管理工作规范有序进行，201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我们加强内部控制和监督。对各项资金的管理、经费收支审批等均作了明确规定，正确组织资金的筹集、调度和使用，债权债务及时结算、结清。各项经费支出实行限额把关、一支笔审批制度。严格执行上级关于“一把手不直接分管财务”的规定，安排一名党组成员分管财务并一支笔签批财务单据。履行“一单五签”的程序。</w:t>
      </w:r>
    </w:p>
    <w:p>
      <w:pPr>
        <w:adjustRightInd w:val="0"/>
        <w:snapToGrid w:val="0"/>
        <w:spacing w:line="600" w:lineRule="exact"/>
        <w:ind w:firstLine="600" w:firstLineChars="200"/>
        <w:rPr>
          <w:rFonts w:hint="eastAsia" w:ascii="仿宋" w:hAnsi="仿宋" w:eastAsia="仿宋"/>
          <w:kern w:val="0"/>
          <w:sz w:val="30"/>
          <w:szCs w:val="30"/>
          <w:shd w:val="clear" w:color="auto" w:fill="FFFFFF"/>
        </w:rPr>
      </w:pPr>
      <w:r>
        <w:rPr>
          <w:rFonts w:hint="eastAsia" w:ascii="仿宋" w:hAnsi="仿宋" w:eastAsia="仿宋"/>
          <w:kern w:val="0"/>
          <w:sz w:val="30"/>
          <w:szCs w:val="30"/>
          <w:shd w:val="clear" w:color="auto" w:fill="FFFFFF"/>
        </w:rPr>
        <w:t>2. 强化制度执行。切实做好厉行节约工作，全面落实各项管理制度要求，努力降低行政成本。严格公务接待费、差旅费、会议费和培训费审核审批程序，实行限额把关、一支笔审批制度，做到一事一公函、一事一审批、一事一结账，会议费和培训费严格按年初计划和制度规定的标准执行。</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（1）实行收支两条线管理制度。所有预算外收入必须直缴县财政国库管理局非税收入汇缴专户.严禁私设小金库、坐收坐支。</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（2）实行财务支出集中会审制度。所有支出必须经会审小组成员集中会审后,由分管财务领导和单位一把手审批，财务才能付款入帐,大额支出须经集体研究决定。</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报账人员必须严格执行财经纪律和财务制度。应根据真实、合法、完整、手续齐全的原始凭证办理收付手续，并将办理后的原始凭证移交会计人员。各项开支报销必须注明时间、地点、人物、事由及相关附件。</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（4）机关办公用品由办公室统一编制采购计划，经分管财务领导审批同意后购买。</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（5）工作人员外出考察学习，办理公务，必须持有上级有关文件或电话通知记录，经局主要领导同意，费用实行一次一报制度，非上级安排的进修学习、费用一律自理。</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（6）招待制度。严格执行《公务接待制度》，所有来客，经主要领导同意后，由办公室统一安排，一律招待工作餐，对口作陪。</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（7）各种工程项目和大批采购，经领导班子集体讨论，由县政府采购办审批后才能采购。</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仿宋" w:hAnsi="仿宋" w:eastAsia="仿宋"/>
          <w:kern w:val="0"/>
          <w:sz w:val="30"/>
          <w:szCs w:val="30"/>
          <w:shd w:val="clear" w:color="auto" w:fill="FFFFFF"/>
        </w:rPr>
      </w:pPr>
      <w:r>
        <w:rPr>
          <w:rFonts w:hint="eastAsia" w:ascii="仿宋" w:hAnsi="仿宋" w:eastAsia="仿宋" w:cs="仿宋"/>
          <w:color w:val="auto"/>
          <w:sz w:val="28"/>
          <w:szCs w:val="28"/>
        </w:rPr>
        <w:t>（8）财务实行定期公开，每半年由分管领导向班子会进行一次全面通报。</w:t>
      </w:r>
    </w:p>
    <w:p>
      <w:pPr>
        <w:adjustRightInd w:val="0"/>
        <w:snapToGrid w:val="0"/>
        <w:spacing w:line="600" w:lineRule="exact"/>
        <w:ind w:firstLine="602" w:firstLineChars="200"/>
        <w:rPr>
          <w:rFonts w:ascii="黑体" w:hAnsi="黑体" w:eastAsia="黑体"/>
          <w:b/>
          <w:sz w:val="30"/>
          <w:szCs w:val="30"/>
        </w:rPr>
      </w:pPr>
      <w:r>
        <w:rPr>
          <w:rFonts w:ascii="黑体" w:hAnsi="黑体" w:eastAsia="黑体"/>
          <w:b/>
          <w:sz w:val="30"/>
          <w:szCs w:val="30"/>
        </w:rPr>
        <w:t>二、</w:t>
      </w:r>
      <w:r>
        <w:rPr>
          <w:rFonts w:hint="eastAsia" w:ascii="黑体" w:hAnsi="黑体" w:eastAsia="黑体"/>
          <w:b/>
          <w:sz w:val="30"/>
          <w:szCs w:val="30"/>
        </w:rPr>
        <w:t>部门整体支出</w:t>
      </w:r>
      <w:r>
        <w:rPr>
          <w:rFonts w:ascii="黑体" w:hAnsi="黑体" w:eastAsia="黑体"/>
          <w:b/>
          <w:sz w:val="30"/>
          <w:szCs w:val="30"/>
        </w:rPr>
        <w:t>管理及使用情况</w:t>
      </w:r>
    </w:p>
    <w:p>
      <w:pPr>
        <w:widowControl/>
        <w:shd w:val="clear" w:color="auto" w:fill="FFFFFF"/>
        <w:spacing w:line="450" w:lineRule="atLeast"/>
        <w:ind w:firstLine="560"/>
        <w:rPr>
          <w:rFonts w:hint="eastAsia" w:ascii="仿宋" w:hAnsi="仿宋" w:eastAsia="仿宋"/>
          <w:b/>
          <w:kern w:val="0"/>
          <w:sz w:val="30"/>
          <w:szCs w:val="30"/>
        </w:rPr>
      </w:pPr>
      <w:r>
        <w:rPr>
          <w:rFonts w:hint="eastAsia" w:ascii="仿宋" w:hAnsi="仿宋" w:eastAsia="仿宋"/>
          <w:b/>
          <w:kern w:val="0"/>
          <w:sz w:val="30"/>
          <w:szCs w:val="30"/>
          <w:shd w:val="clear" w:color="auto" w:fill="FFFFFF"/>
        </w:rPr>
        <w:t>（一）201</w:t>
      </w:r>
      <w:r>
        <w:rPr>
          <w:rFonts w:hint="eastAsia" w:ascii="仿宋" w:hAnsi="仿宋" w:eastAsia="仿宋"/>
          <w:b/>
          <w:kern w:val="0"/>
          <w:sz w:val="30"/>
          <w:szCs w:val="30"/>
          <w:shd w:val="clear" w:color="auto" w:fill="FFFFFF"/>
          <w:lang w:val="en-US" w:eastAsia="zh-CN"/>
        </w:rPr>
        <w:t>9</w:t>
      </w:r>
      <w:r>
        <w:rPr>
          <w:rFonts w:hint="eastAsia" w:ascii="仿宋" w:hAnsi="仿宋" w:eastAsia="仿宋"/>
          <w:b/>
          <w:kern w:val="0"/>
          <w:sz w:val="30"/>
          <w:szCs w:val="30"/>
          <w:shd w:val="clear" w:color="auto" w:fill="FFFFFF"/>
        </w:rPr>
        <w:t>年度预算基本情况</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年，本部门年初预算收入</w:t>
      </w:r>
      <w:r>
        <w:rPr>
          <w:rFonts w:hint="eastAsia" w:ascii="仿宋" w:hAnsi="仿宋" w:eastAsia="仿宋"/>
          <w:kern w:val="0"/>
          <w:sz w:val="30"/>
          <w:szCs w:val="30"/>
          <w:shd w:val="clear" w:color="auto" w:fill="FFFFFF"/>
          <w:lang w:val="en-US" w:eastAsia="zh-CN"/>
        </w:rPr>
        <w:t>125.94</w:t>
      </w:r>
      <w:r>
        <w:rPr>
          <w:rFonts w:hint="eastAsia" w:ascii="仿宋" w:hAnsi="仿宋" w:eastAsia="仿宋"/>
          <w:kern w:val="0"/>
          <w:sz w:val="30"/>
          <w:szCs w:val="30"/>
          <w:shd w:val="clear" w:color="auto" w:fill="FFFFFF"/>
        </w:rPr>
        <w:t>万元，其中：财政拨款收入年初预算</w:t>
      </w:r>
      <w:r>
        <w:rPr>
          <w:rFonts w:hint="eastAsia" w:ascii="仿宋" w:hAnsi="仿宋" w:eastAsia="仿宋"/>
          <w:kern w:val="0"/>
          <w:sz w:val="30"/>
          <w:szCs w:val="30"/>
          <w:shd w:val="clear" w:color="auto" w:fill="FFFFFF"/>
          <w:lang w:val="en-US" w:eastAsia="zh-CN"/>
        </w:rPr>
        <w:t>125.94</w:t>
      </w:r>
      <w:r>
        <w:rPr>
          <w:rFonts w:hint="eastAsia" w:ascii="仿宋" w:hAnsi="仿宋" w:eastAsia="仿宋"/>
          <w:kern w:val="0"/>
          <w:sz w:val="30"/>
          <w:szCs w:val="30"/>
          <w:shd w:val="clear" w:color="auto" w:fill="FFFFFF"/>
        </w:rPr>
        <w:t>万元，占100%。</w:t>
      </w:r>
      <w:r>
        <w:rPr>
          <w:rFonts w:hint="eastAsia" w:ascii="仿宋" w:hAnsi="仿宋" w:eastAsia="仿宋"/>
          <w:kern w:val="0"/>
          <w:sz w:val="30"/>
          <w:szCs w:val="30"/>
          <w:shd w:val="clear" w:color="auto" w:fill="FFFFFF"/>
          <w:lang w:eastAsia="zh-CN"/>
        </w:rPr>
        <w:t>没有</w:t>
      </w:r>
      <w:r>
        <w:rPr>
          <w:rFonts w:hint="eastAsia" w:ascii="仿宋" w:hAnsi="仿宋" w:eastAsia="仿宋"/>
          <w:kern w:val="0"/>
          <w:sz w:val="30"/>
          <w:szCs w:val="30"/>
          <w:shd w:val="clear" w:color="auto" w:fill="FFFFFF"/>
        </w:rPr>
        <w:t>追加预算。</w:t>
      </w:r>
    </w:p>
    <w:p>
      <w:pPr>
        <w:widowControl/>
        <w:shd w:val="clear" w:color="auto" w:fill="FFFFFF"/>
        <w:spacing w:line="450" w:lineRule="atLeast"/>
        <w:ind w:firstLine="560"/>
        <w:rPr>
          <w:rFonts w:hint="eastAsia" w:ascii="仿宋" w:hAnsi="仿宋" w:eastAsia="仿宋"/>
          <w:kern w:val="0"/>
          <w:sz w:val="30"/>
          <w:szCs w:val="30"/>
          <w:shd w:val="clear" w:color="auto" w:fill="FFFFFF"/>
          <w:lang w:val="en-US" w:eastAsia="zh-CN"/>
        </w:rPr>
      </w:pPr>
      <w:r>
        <w:rPr>
          <w:rFonts w:hint="eastAsia" w:ascii="仿宋" w:hAnsi="仿宋" w:eastAsia="仿宋"/>
          <w:kern w:val="0"/>
          <w:sz w:val="30"/>
          <w:szCs w:val="30"/>
          <w:shd w:val="clear" w:color="auto" w:fill="FFFFFF"/>
        </w:rPr>
        <w:t>年初支出预算</w:t>
      </w:r>
      <w:r>
        <w:rPr>
          <w:rFonts w:hint="eastAsia" w:ascii="仿宋" w:hAnsi="仿宋" w:eastAsia="仿宋"/>
          <w:kern w:val="0"/>
          <w:sz w:val="30"/>
          <w:szCs w:val="30"/>
          <w:shd w:val="clear" w:color="auto" w:fill="FFFFFF"/>
          <w:lang w:val="en-US" w:eastAsia="zh-CN"/>
        </w:rPr>
        <w:t>125.94</w:t>
      </w:r>
      <w:r>
        <w:rPr>
          <w:rFonts w:hint="eastAsia" w:ascii="仿宋" w:hAnsi="仿宋" w:eastAsia="仿宋"/>
          <w:kern w:val="0"/>
          <w:sz w:val="30"/>
          <w:szCs w:val="30"/>
          <w:shd w:val="clear" w:color="auto" w:fill="FFFFFF"/>
        </w:rPr>
        <w:t>万元中，基本支出</w:t>
      </w:r>
      <w:r>
        <w:rPr>
          <w:rFonts w:hint="eastAsia" w:ascii="仿宋" w:hAnsi="仿宋" w:eastAsia="仿宋"/>
          <w:kern w:val="0"/>
          <w:sz w:val="30"/>
          <w:szCs w:val="30"/>
          <w:shd w:val="clear" w:color="auto" w:fill="FFFFFF"/>
          <w:lang w:val="en-US" w:eastAsia="zh-CN"/>
        </w:rPr>
        <w:t>125.94</w:t>
      </w:r>
      <w:r>
        <w:rPr>
          <w:rFonts w:hint="eastAsia" w:ascii="仿宋" w:hAnsi="仿宋" w:eastAsia="仿宋"/>
          <w:kern w:val="0"/>
          <w:sz w:val="30"/>
          <w:szCs w:val="30"/>
          <w:shd w:val="clear" w:color="auto" w:fill="FFFFFF"/>
        </w:rPr>
        <w:t>万元</w:t>
      </w:r>
      <w:r>
        <w:rPr>
          <w:rFonts w:hint="eastAsia" w:ascii="仿宋" w:hAnsi="仿宋" w:eastAsia="仿宋"/>
          <w:kern w:val="0"/>
          <w:sz w:val="30"/>
          <w:szCs w:val="30"/>
          <w:shd w:val="clear" w:color="auto" w:fill="FFFFFF"/>
          <w:lang w:eastAsia="zh-CN"/>
        </w:rPr>
        <w:t>，</w:t>
      </w:r>
      <w:r>
        <w:rPr>
          <w:rFonts w:hint="eastAsia" w:ascii="仿宋" w:hAnsi="仿宋" w:eastAsia="仿宋"/>
          <w:kern w:val="0"/>
          <w:sz w:val="30"/>
          <w:szCs w:val="30"/>
          <w:shd w:val="clear" w:color="auto" w:fill="FFFFFF"/>
        </w:rPr>
        <w:t>占</w:t>
      </w:r>
      <w:r>
        <w:rPr>
          <w:rFonts w:hint="eastAsia" w:ascii="仿宋" w:hAnsi="仿宋" w:eastAsia="仿宋"/>
          <w:kern w:val="0"/>
          <w:sz w:val="30"/>
          <w:szCs w:val="30"/>
          <w:shd w:val="clear" w:color="auto" w:fill="FFFFFF"/>
          <w:lang w:val="en-US" w:eastAsia="zh-CN"/>
        </w:rPr>
        <w:t>100%。</w:t>
      </w:r>
    </w:p>
    <w:p>
      <w:pPr>
        <w:widowControl/>
        <w:shd w:val="clear" w:color="auto" w:fill="FFFFFF"/>
        <w:spacing w:line="450" w:lineRule="atLeast"/>
        <w:ind w:firstLine="560"/>
        <w:rPr>
          <w:rFonts w:ascii="仿宋" w:hAnsi="仿宋" w:eastAsia="仿宋"/>
          <w:b/>
          <w:kern w:val="0"/>
          <w:sz w:val="30"/>
          <w:szCs w:val="30"/>
        </w:rPr>
      </w:pPr>
      <w:r>
        <w:rPr>
          <w:rFonts w:hint="eastAsia" w:ascii="仿宋" w:hAnsi="仿宋" w:eastAsia="仿宋"/>
          <w:b/>
          <w:kern w:val="0"/>
          <w:sz w:val="30"/>
          <w:szCs w:val="30"/>
          <w:shd w:val="clear" w:color="auto" w:fill="FFFFFF"/>
        </w:rPr>
        <w:t>（二）201</w:t>
      </w:r>
      <w:r>
        <w:rPr>
          <w:rFonts w:hint="eastAsia" w:ascii="仿宋" w:hAnsi="仿宋" w:eastAsia="仿宋"/>
          <w:b/>
          <w:kern w:val="0"/>
          <w:sz w:val="30"/>
          <w:szCs w:val="30"/>
          <w:shd w:val="clear" w:color="auto" w:fill="FFFFFF"/>
          <w:lang w:val="en-US" w:eastAsia="zh-CN"/>
        </w:rPr>
        <w:t>9</w:t>
      </w:r>
      <w:r>
        <w:rPr>
          <w:rFonts w:hint="eastAsia" w:ascii="仿宋" w:hAnsi="仿宋" w:eastAsia="仿宋"/>
          <w:b/>
          <w:kern w:val="0"/>
          <w:sz w:val="30"/>
          <w:szCs w:val="30"/>
          <w:shd w:val="clear" w:color="auto" w:fill="FFFFFF"/>
        </w:rPr>
        <w:t>年度收支决算情况</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1. 201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年度收入决算情况</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年度总收入</w:t>
      </w:r>
      <w:r>
        <w:rPr>
          <w:rFonts w:hint="eastAsia" w:ascii="仿宋" w:hAnsi="仿宋" w:eastAsia="仿宋"/>
          <w:kern w:val="0"/>
          <w:sz w:val="30"/>
          <w:szCs w:val="30"/>
          <w:shd w:val="clear" w:color="auto" w:fill="FFFFFF"/>
          <w:lang w:val="en-US" w:eastAsia="zh-CN"/>
        </w:rPr>
        <w:t>222.71</w:t>
      </w:r>
      <w:r>
        <w:rPr>
          <w:rFonts w:hint="eastAsia" w:ascii="仿宋" w:hAnsi="仿宋" w:eastAsia="仿宋"/>
          <w:kern w:val="0"/>
          <w:sz w:val="30"/>
          <w:szCs w:val="30"/>
          <w:shd w:val="clear" w:color="auto" w:fill="FFFFFF"/>
        </w:rPr>
        <w:t>万元，其中：财政拨款收入</w:t>
      </w:r>
      <w:r>
        <w:rPr>
          <w:rFonts w:hint="eastAsia" w:ascii="仿宋" w:hAnsi="仿宋" w:eastAsia="仿宋"/>
          <w:kern w:val="0"/>
          <w:sz w:val="30"/>
          <w:szCs w:val="30"/>
          <w:shd w:val="clear" w:color="auto" w:fill="FFFFFF"/>
          <w:lang w:val="en-US" w:eastAsia="zh-CN"/>
        </w:rPr>
        <w:t>222.71</w:t>
      </w:r>
      <w:r>
        <w:rPr>
          <w:rFonts w:hint="eastAsia" w:ascii="仿宋" w:hAnsi="仿宋" w:eastAsia="仿宋"/>
          <w:kern w:val="0"/>
          <w:sz w:val="30"/>
          <w:szCs w:val="30"/>
          <w:shd w:val="clear" w:color="auto" w:fill="FFFFFF"/>
        </w:rPr>
        <w:t>万元，占100%。</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年度支出决算情况</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年度总支出</w:t>
      </w:r>
      <w:r>
        <w:rPr>
          <w:rFonts w:hint="eastAsia" w:ascii="仿宋" w:hAnsi="仿宋" w:eastAsia="仿宋"/>
          <w:kern w:val="0"/>
          <w:sz w:val="30"/>
          <w:szCs w:val="30"/>
          <w:shd w:val="clear" w:color="auto" w:fill="FFFFFF"/>
          <w:lang w:val="en-US" w:eastAsia="zh-CN"/>
        </w:rPr>
        <w:t>222.71</w:t>
      </w:r>
      <w:r>
        <w:rPr>
          <w:rFonts w:hint="eastAsia" w:ascii="仿宋" w:hAnsi="仿宋" w:eastAsia="仿宋"/>
          <w:kern w:val="0"/>
          <w:sz w:val="30"/>
          <w:szCs w:val="30"/>
          <w:shd w:val="clear" w:color="auto" w:fill="FFFFFF"/>
        </w:rPr>
        <w:t>万元，其中基本支出</w:t>
      </w:r>
      <w:r>
        <w:rPr>
          <w:rFonts w:hint="eastAsia" w:ascii="仿宋" w:hAnsi="仿宋" w:eastAsia="仿宋"/>
          <w:kern w:val="0"/>
          <w:sz w:val="30"/>
          <w:szCs w:val="30"/>
          <w:shd w:val="clear" w:color="auto" w:fill="FFFFFF"/>
          <w:lang w:val="en-US" w:eastAsia="zh-CN"/>
        </w:rPr>
        <w:t>222.71</w:t>
      </w:r>
      <w:r>
        <w:rPr>
          <w:rFonts w:hint="eastAsia" w:ascii="仿宋" w:hAnsi="仿宋" w:eastAsia="仿宋"/>
          <w:kern w:val="0"/>
          <w:sz w:val="30"/>
          <w:szCs w:val="30"/>
          <w:shd w:val="clear" w:color="auto" w:fill="FFFFFF"/>
        </w:rPr>
        <w:t>万元</w:t>
      </w:r>
      <w:r>
        <w:rPr>
          <w:rFonts w:hint="eastAsia" w:ascii="仿宋" w:hAnsi="仿宋" w:eastAsia="仿宋"/>
          <w:kern w:val="0"/>
          <w:sz w:val="30"/>
          <w:szCs w:val="30"/>
          <w:shd w:val="clear" w:color="auto" w:fill="FFFFFF"/>
          <w:lang w:eastAsia="zh-CN"/>
        </w:rPr>
        <w:t>，</w:t>
      </w:r>
      <w:r>
        <w:rPr>
          <w:rFonts w:hint="eastAsia" w:ascii="仿宋" w:hAnsi="仿宋" w:eastAsia="仿宋"/>
          <w:kern w:val="0"/>
          <w:sz w:val="30"/>
          <w:szCs w:val="30"/>
          <w:shd w:val="clear" w:color="auto" w:fill="FFFFFF"/>
        </w:rPr>
        <w:t>占总支出比例</w:t>
      </w:r>
      <w:r>
        <w:rPr>
          <w:rFonts w:hint="eastAsia" w:ascii="仿宋" w:hAnsi="仿宋" w:eastAsia="仿宋"/>
          <w:kern w:val="0"/>
          <w:sz w:val="30"/>
          <w:szCs w:val="30"/>
          <w:shd w:val="clear" w:color="auto" w:fill="FFFFFF"/>
          <w:lang w:val="en-US" w:eastAsia="zh-CN"/>
        </w:rPr>
        <w:t>100</w:t>
      </w:r>
      <w:r>
        <w:rPr>
          <w:rFonts w:hint="eastAsia" w:ascii="仿宋" w:hAnsi="仿宋" w:eastAsia="仿宋"/>
          <w:kern w:val="0"/>
          <w:sz w:val="30"/>
          <w:szCs w:val="30"/>
          <w:shd w:val="clear" w:color="auto" w:fill="FFFFFF"/>
        </w:rPr>
        <w:t>%。基本支出</w:t>
      </w:r>
      <w:r>
        <w:rPr>
          <w:rFonts w:hint="eastAsia" w:ascii="仿宋" w:hAnsi="仿宋" w:eastAsia="仿宋"/>
          <w:kern w:val="0"/>
          <w:sz w:val="30"/>
          <w:szCs w:val="30"/>
          <w:shd w:val="clear" w:color="auto" w:fill="FFFFFF"/>
          <w:lang w:val="en-US" w:eastAsia="zh-CN"/>
        </w:rPr>
        <w:t>222.71</w:t>
      </w:r>
      <w:r>
        <w:rPr>
          <w:rFonts w:hint="eastAsia" w:ascii="仿宋" w:hAnsi="仿宋" w:eastAsia="仿宋"/>
          <w:kern w:val="0"/>
          <w:sz w:val="30"/>
          <w:szCs w:val="30"/>
          <w:shd w:val="clear" w:color="auto" w:fill="FFFFFF"/>
        </w:rPr>
        <w:t>万元，其中：工资福利支出</w:t>
      </w:r>
      <w:r>
        <w:rPr>
          <w:rFonts w:hint="eastAsia" w:ascii="仿宋" w:hAnsi="仿宋" w:eastAsia="仿宋"/>
          <w:kern w:val="0"/>
          <w:sz w:val="30"/>
          <w:szCs w:val="30"/>
          <w:shd w:val="clear" w:color="auto" w:fill="FFFFFF"/>
          <w:lang w:val="en-US" w:eastAsia="zh-CN"/>
        </w:rPr>
        <w:t>137.46</w:t>
      </w:r>
      <w:r>
        <w:rPr>
          <w:rFonts w:hint="eastAsia" w:ascii="仿宋" w:hAnsi="仿宋" w:eastAsia="仿宋"/>
          <w:kern w:val="0"/>
          <w:sz w:val="30"/>
          <w:szCs w:val="30"/>
          <w:shd w:val="clear" w:color="auto" w:fill="FFFFFF"/>
        </w:rPr>
        <w:t>万元，占基本支出比例</w:t>
      </w:r>
      <w:r>
        <w:rPr>
          <w:rFonts w:hint="eastAsia" w:ascii="仿宋" w:hAnsi="仿宋" w:eastAsia="仿宋"/>
          <w:kern w:val="0"/>
          <w:sz w:val="30"/>
          <w:szCs w:val="30"/>
          <w:shd w:val="clear" w:color="auto" w:fill="FFFFFF"/>
          <w:lang w:val="en-US" w:eastAsia="zh-CN"/>
        </w:rPr>
        <w:t>62</w:t>
      </w:r>
      <w:r>
        <w:rPr>
          <w:rFonts w:hint="eastAsia" w:ascii="仿宋" w:hAnsi="仿宋" w:eastAsia="仿宋"/>
          <w:kern w:val="0"/>
          <w:sz w:val="30"/>
          <w:szCs w:val="30"/>
          <w:shd w:val="clear" w:color="auto" w:fill="FFFFFF"/>
        </w:rPr>
        <w:t>%，商品和服务支出</w:t>
      </w:r>
      <w:r>
        <w:rPr>
          <w:rFonts w:hint="eastAsia" w:ascii="仿宋" w:hAnsi="仿宋" w:eastAsia="仿宋"/>
          <w:kern w:val="0"/>
          <w:sz w:val="30"/>
          <w:szCs w:val="30"/>
          <w:shd w:val="clear" w:color="auto" w:fill="FFFFFF"/>
          <w:lang w:val="en-US" w:eastAsia="zh-CN"/>
        </w:rPr>
        <w:t>18.81</w:t>
      </w:r>
      <w:r>
        <w:rPr>
          <w:rFonts w:hint="eastAsia" w:ascii="仿宋" w:hAnsi="仿宋" w:eastAsia="仿宋"/>
          <w:kern w:val="0"/>
          <w:sz w:val="30"/>
          <w:szCs w:val="30"/>
          <w:shd w:val="clear" w:color="auto" w:fill="FFFFFF"/>
        </w:rPr>
        <w:t>万元</w:t>
      </w:r>
      <w:r>
        <w:rPr>
          <w:rFonts w:hint="eastAsia" w:ascii="仿宋" w:hAnsi="仿宋" w:eastAsia="仿宋"/>
          <w:kern w:val="0"/>
          <w:sz w:val="30"/>
          <w:szCs w:val="30"/>
          <w:shd w:val="clear" w:color="auto" w:fill="FFFFFF"/>
          <w:lang w:eastAsia="zh-CN"/>
        </w:rPr>
        <w:t>，</w:t>
      </w:r>
      <w:r>
        <w:rPr>
          <w:rFonts w:hint="eastAsia" w:ascii="仿宋" w:hAnsi="仿宋" w:eastAsia="仿宋"/>
          <w:kern w:val="0"/>
          <w:sz w:val="30"/>
          <w:szCs w:val="30"/>
          <w:shd w:val="clear" w:color="auto" w:fill="FFFFFF"/>
        </w:rPr>
        <w:t>占基本支出比例</w:t>
      </w:r>
      <w:r>
        <w:rPr>
          <w:rFonts w:hint="eastAsia" w:ascii="仿宋" w:hAnsi="仿宋" w:eastAsia="仿宋"/>
          <w:kern w:val="0"/>
          <w:sz w:val="30"/>
          <w:szCs w:val="30"/>
          <w:shd w:val="clear" w:color="auto" w:fill="FFFFFF"/>
          <w:lang w:val="en-US" w:eastAsia="zh-CN"/>
        </w:rPr>
        <w:t>8</w:t>
      </w:r>
      <w:r>
        <w:rPr>
          <w:rFonts w:hint="eastAsia" w:ascii="仿宋" w:hAnsi="仿宋" w:eastAsia="仿宋"/>
          <w:kern w:val="0"/>
          <w:sz w:val="30"/>
          <w:szCs w:val="30"/>
          <w:shd w:val="clear" w:color="auto" w:fill="FFFFFF"/>
        </w:rPr>
        <w:t>%，对个人和家庭的补助支出</w:t>
      </w:r>
      <w:r>
        <w:rPr>
          <w:rFonts w:hint="eastAsia" w:ascii="仿宋" w:hAnsi="仿宋" w:eastAsia="仿宋"/>
          <w:kern w:val="0"/>
          <w:sz w:val="30"/>
          <w:szCs w:val="30"/>
          <w:shd w:val="clear" w:color="auto" w:fill="FFFFFF"/>
          <w:lang w:val="en-US" w:eastAsia="zh-CN"/>
        </w:rPr>
        <w:t>66.44</w:t>
      </w:r>
      <w:r>
        <w:rPr>
          <w:rFonts w:hint="eastAsia" w:ascii="仿宋" w:hAnsi="仿宋" w:eastAsia="仿宋"/>
          <w:kern w:val="0"/>
          <w:sz w:val="30"/>
          <w:szCs w:val="30"/>
          <w:shd w:val="clear" w:color="auto" w:fill="FFFFFF"/>
        </w:rPr>
        <w:t>万元</w:t>
      </w:r>
      <w:r>
        <w:rPr>
          <w:rFonts w:hint="eastAsia" w:ascii="仿宋" w:hAnsi="仿宋" w:eastAsia="仿宋"/>
          <w:kern w:val="0"/>
          <w:sz w:val="30"/>
          <w:szCs w:val="30"/>
          <w:shd w:val="clear" w:color="auto" w:fill="FFFFFF"/>
          <w:lang w:eastAsia="zh-CN"/>
        </w:rPr>
        <w:t>，</w:t>
      </w:r>
      <w:r>
        <w:rPr>
          <w:rFonts w:hint="eastAsia" w:ascii="仿宋" w:hAnsi="仿宋" w:eastAsia="仿宋"/>
          <w:kern w:val="0"/>
          <w:sz w:val="30"/>
          <w:szCs w:val="30"/>
          <w:shd w:val="clear" w:color="auto" w:fill="FFFFFF"/>
        </w:rPr>
        <w:t>占基本支出比例</w:t>
      </w:r>
      <w:r>
        <w:rPr>
          <w:rFonts w:hint="eastAsia" w:ascii="仿宋" w:hAnsi="仿宋" w:eastAsia="仿宋"/>
          <w:kern w:val="0"/>
          <w:sz w:val="30"/>
          <w:szCs w:val="30"/>
          <w:shd w:val="clear" w:color="auto" w:fill="FFFFFF"/>
          <w:lang w:val="en-US" w:eastAsia="zh-CN"/>
        </w:rPr>
        <w:t>30</w:t>
      </w:r>
      <w:r>
        <w:rPr>
          <w:rFonts w:hint="eastAsia" w:ascii="仿宋" w:hAnsi="仿宋" w:eastAsia="仿宋"/>
          <w:kern w:val="0"/>
          <w:sz w:val="30"/>
          <w:szCs w:val="30"/>
          <w:shd w:val="clear" w:color="auto" w:fill="FFFFFF"/>
        </w:rPr>
        <w:t>%</w:t>
      </w:r>
      <w:r>
        <w:rPr>
          <w:rFonts w:hint="eastAsia" w:ascii="仿宋" w:hAnsi="仿宋" w:eastAsia="仿宋"/>
          <w:kern w:val="0"/>
          <w:sz w:val="30"/>
          <w:szCs w:val="30"/>
          <w:shd w:val="clear" w:color="auto" w:fill="FFFFFF"/>
          <w:lang w:val="en-US" w:eastAsia="zh-CN"/>
        </w:rPr>
        <w:t>，</w:t>
      </w:r>
      <w:r>
        <w:rPr>
          <w:rFonts w:hint="eastAsia" w:ascii="仿宋" w:hAnsi="仿宋" w:eastAsia="仿宋"/>
          <w:kern w:val="0"/>
          <w:sz w:val="30"/>
          <w:szCs w:val="30"/>
          <w:shd w:val="clear" w:color="auto" w:fill="FFFFFF"/>
          <w:lang w:eastAsia="zh-CN"/>
        </w:rPr>
        <w:t>其他支出</w:t>
      </w:r>
      <w:r>
        <w:rPr>
          <w:rFonts w:hint="eastAsia" w:ascii="仿宋" w:hAnsi="仿宋" w:eastAsia="仿宋"/>
          <w:kern w:val="0"/>
          <w:sz w:val="30"/>
          <w:szCs w:val="30"/>
          <w:shd w:val="clear" w:color="auto" w:fill="FFFFFF"/>
          <w:lang w:val="en-US" w:eastAsia="zh-CN"/>
        </w:rPr>
        <w:t>0万元，占基本支出0%。</w:t>
      </w:r>
    </w:p>
    <w:p>
      <w:pPr>
        <w:widowControl/>
        <w:shd w:val="clear" w:color="auto" w:fill="FFFFFF"/>
        <w:spacing w:line="450" w:lineRule="atLeast"/>
        <w:ind w:firstLine="560"/>
        <w:rPr>
          <w:rFonts w:ascii="仿宋" w:hAnsi="仿宋" w:eastAsia="仿宋"/>
          <w:b/>
          <w:kern w:val="0"/>
          <w:sz w:val="30"/>
          <w:szCs w:val="30"/>
        </w:rPr>
      </w:pPr>
      <w:r>
        <w:rPr>
          <w:rFonts w:hint="eastAsia" w:ascii="仿宋" w:hAnsi="仿宋" w:eastAsia="仿宋"/>
          <w:b/>
          <w:kern w:val="0"/>
          <w:sz w:val="30"/>
          <w:szCs w:val="30"/>
          <w:shd w:val="clear" w:color="auto" w:fill="FFFFFF"/>
        </w:rPr>
        <w:t>（三）基本支出使用管理情况</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基本支出用于为保障机构正常运转、完成日常工作任务而发生的支出，包括人员经费和公用经费。201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年度本单位人员经费</w:t>
      </w:r>
      <w:r>
        <w:rPr>
          <w:rFonts w:hint="eastAsia" w:ascii="仿宋" w:hAnsi="仿宋" w:eastAsia="仿宋"/>
          <w:kern w:val="0"/>
          <w:sz w:val="30"/>
          <w:szCs w:val="30"/>
          <w:shd w:val="clear" w:color="auto" w:fill="FFFFFF"/>
          <w:lang w:val="en-US" w:eastAsia="zh-CN"/>
        </w:rPr>
        <w:t>203.9</w:t>
      </w:r>
      <w:r>
        <w:rPr>
          <w:rFonts w:hint="eastAsia" w:ascii="仿宋" w:hAnsi="仿宋" w:eastAsia="仿宋"/>
          <w:kern w:val="0"/>
          <w:sz w:val="30"/>
          <w:szCs w:val="30"/>
          <w:shd w:val="clear" w:color="auto" w:fill="FFFFFF"/>
        </w:rPr>
        <w:t>万元占基本支出比例</w:t>
      </w:r>
      <w:r>
        <w:rPr>
          <w:rFonts w:hint="eastAsia" w:ascii="仿宋" w:hAnsi="仿宋" w:eastAsia="仿宋"/>
          <w:kern w:val="0"/>
          <w:sz w:val="30"/>
          <w:szCs w:val="30"/>
          <w:shd w:val="clear" w:color="auto" w:fill="FFFFFF"/>
          <w:lang w:val="en-US" w:eastAsia="zh-CN"/>
        </w:rPr>
        <w:t>92</w:t>
      </w:r>
      <w:r>
        <w:rPr>
          <w:rFonts w:hint="eastAsia" w:ascii="仿宋" w:hAnsi="仿宋" w:eastAsia="仿宋"/>
          <w:kern w:val="0"/>
          <w:sz w:val="30"/>
          <w:szCs w:val="30"/>
          <w:shd w:val="clear" w:color="auto" w:fill="FFFFFF"/>
        </w:rPr>
        <w:t>%，较年初预算超支比例较大的主要原因是本年度进行了工资及其他福利调整；公用经费支出</w:t>
      </w:r>
      <w:r>
        <w:rPr>
          <w:rFonts w:hint="eastAsia" w:ascii="仿宋" w:hAnsi="仿宋" w:eastAsia="仿宋"/>
          <w:kern w:val="0"/>
          <w:sz w:val="30"/>
          <w:szCs w:val="30"/>
          <w:shd w:val="clear" w:color="auto" w:fill="FFFFFF"/>
          <w:lang w:val="en-US" w:eastAsia="zh-CN"/>
        </w:rPr>
        <w:t>18.8</w:t>
      </w:r>
      <w:r>
        <w:rPr>
          <w:rFonts w:hint="eastAsia" w:ascii="仿宋" w:hAnsi="仿宋" w:eastAsia="仿宋"/>
          <w:kern w:val="0"/>
          <w:sz w:val="30"/>
          <w:szCs w:val="30"/>
          <w:shd w:val="clear" w:color="auto" w:fill="FFFFFF"/>
        </w:rPr>
        <w:t>万元占基本支出比例</w:t>
      </w:r>
      <w:r>
        <w:rPr>
          <w:rFonts w:hint="eastAsia" w:ascii="仿宋" w:hAnsi="仿宋" w:eastAsia="仿宋"/>
          <w:kern w:val="0"/>
          <w:sz w:val="30"/>
          <w:szCs w:val="30"/>
          <w:shd w:val="clear" w:color="auto" w:fill="FFFFFF"/>
          <w:lang w:val="en-US" w:eastAsia="zh-CN"/>
        </w:rPr>
        <w:t>8</w:t>
      </w:r>
      <w:r>
        <w:rPr>
          <w:rFonts w:hint="eastAsia" w:ascii="仿宋" w:hAnsi="仿宋" w:eastAsia="仿宋"/>
          <w:kern w:val="0"/>
          <w:sz w:val="30"/>
          <w:szCs w:val="30"/>
          <w:shd w:val="clear" w:color="auto" w:fill="FFFFFF"/>
        </w:rPr>
        <w:t>%。公用经费主要是</w:t>
      </w:r>
      <w:r>
        <w:rPr>
          <w:rFonts w:hint="eastAsia" w:ascii="仿宋" w:hAnsi="仿宋" w:eastAsia="仿宋"/>
          <w:kern w:val="0"/>
          <w:sz w:val="30"/>
          <w:szCs w:val="30"/>
          <w:shd w:val="clear" w:color="auto" w:fill="FFFFFF"/>
          <w:lang w:eastAsia="zh-CN"/>
        </w:rPr>
        <w:t>办公费、印刷费、差旅费、委托业务费等支出</w:t>
      </w:r>
      <w:r>
        <w:rPr>
          <w:rFonts w:hint="eastAsia" w:ascii="仿宋" w:hAnsi="仿宋" w:eastAsia="仿宋"/>
          <w:kern w:val="0"/>
          <w:sz w:val="30"/>
          <w:szCs w:val="30"/>
          <w:shd w:val="clear" w:color="auto" w:fill="FFFFFF"/>
        </w:rPr>
        <w:t>。本年度基本支出与调整后的预算基本一致。</w:t>
      </w:r>
    </w:p>
    <w:p>
      <w:pPr>
        <w:widowControl/>
        <w:shd w:val="clear" w:color="auto" w:fill="FFFFFF"/>
        <w:spacing w:line="450" w:lineRule="atLeast"/>
        <w:ind w:firstLine="560"/>
        <w:rPr>
          <w:rFonts w:ascii="仿宋" w:hAnsi="仿宋" w:eastAsia="仿宋"/>
          <w:b/>
          <w:kern w:val="0"/>
          <w:sz w:val="30"/>
          <w:szCs w:val="30"/>
        </w:rPr>
      </w:pPr>
      <w:r>
        <w:rPr>
          <w:rFonts w:hint="eastAsia" w:ascii="仿宋" w:hAnsi="仿宋" w:eastAsia="仿宋"/>
          <w:b/>
          <w:kern w:val="0"/>
          <w:sz w:val="30"/>
          <w:szCs w:val="30"/>
          <w:shd w:val="clear" w:color="auto" w:fill="FFFFFF"/>
        </w:rPr>
        <w:t>（四） “三公”经费使用管理情况</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1. 201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年“三公”经费预算情况</w:t>
      </w:r>
    </w:p>
    <w:p>
      <w:pPr>
        <w:widowControl/>
        <w:shd w:val="clear" w:color="auto" w:fill="FFFFFF"/>
        <w:spacing w:line="450" w:lineRule="atLeast"/>
        <w:ind w:firstLine="560"/>
        <w:rPr>
          <w:rFonts w:hint="eastAsia" w:ascii="仿宋" w:hAnsi="仿宋" w:eastAsia="仿宋"/>
          <w:kern w:val="0"/>
          <w:sz w:val="30"/>
          <w:szCs w:val="30"/>
          <w:lang w:eastAsia="zh-CN"/>
        </w:rPr>
      </w:pPr>
      <w:r>
        <w:rPr>
          <w:rFonts w:hint="eastAsia" w:ascii="仿宋" w:hAnsi="仿宋" w:eastAsia="仿宋"/>
          <w:kern w:val="0"/>
          <w:sz w:val="30"/>
          <w:szCs w:val="30"/>
          <w:shd w:val="clear" w:color="auto" w:fill="FFFFFF"/>
        </w:rPr>
        <w:t>本单位201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年“三公”经费预算（控制数）金额为</w:t>
      </w:r>
      <w:r>
        <w:rPr>
          <w:rFonts w:hint="eastAsia" w:ascii="仿宋" w:hAnsi="仿宋" w:eastAsia="仿宋"/>
          <w:kern w:val="0"/>
          <w:sz w:val="30"/>
          <w:szCs w:val="30"/>
          <w:shd w:val="clear" w:color="auto" w:fill="FFFFFF"/>
          <w:lang w:val="en-US" w:eastAsia="zh-CN"/>
        </w:rPr>
        <w:t>3</w:t>
      </w:r>
      <w:r>
        <w:rPr>
          <w:rFonts w:hint="eastAsia" w:ascii="仿宋" w:hAnsi="仿宋" w:eastAsia="仿宋"/>
          <w:kern w:val="0"/>
          <w:sz w:val="30"/>
          <w:szCs w:val="30"/>
          <w:shd w:val="clear" w:color="auto" w:fill="FFFFFF"/>
        </w:rPr>
        <w:t>万元，其中公务接待费</w:t>
      </w:r>
      <w:r>
        <w:rPr>
          <w:rFonts w:hint="eastAsia" w:ascii="仿宋" w:hAnsi="仿宋" w:eastAsia="仿宋"/>
          <w:kern w:val="0"/>
          <w:sz w:val="30"/>
          <w:szCs w:val="30"/>
          <w:shd w:val="clear" w:color="auto" w:fill="FFFFFF"/>
          <w:lang w:val="en-US" w:eastAsia="zh-CN"/>
        </w:rPr>
        <w:t>3</w:t>
      </w:r>
      <w:r>
        <w:rPr>
          <w:rFonts w:hint="eastAsia" w:ascii="仿宋" w:hAnsi="仿宋" w:eastAsia="仿宋"/>
          <w:kern w:val="0"/>
          <w:sz w:val="30"/>
          <w:szCs w:val="30"/>
          <w:shd w:val="clear" w:color="auto" w:fill="FFFFFF"/>
        </w:rPr>
        <w:t>万元</w:t>
      </w:r>
      <w:r>
        <w:rPr>
          <w:rFonts w:hint="eastAsia" w:ascii="仿宋" w:hAnsi="仿宋" w:eastAsia="仿宋"/>
          <w:kern w:val="0"/>
          <w:sz w:val="30"/>
          <w:szCs w:val="30"/>
          <w:shd w:val="clear" w:color="auto" w:fill="FFFFFF"/>
          <w:lang w:eastAsia="zh-CN"/>
        </w:rPr>
        <w:t>，</w:t>
      </w:r>
      <w:r>
        <w:rPr>
          <w:rFonts w:hint="eastAsia" w:ascii="仿宋" w:hAnsi="仿宋" w:eastAsia="仿宋" w:cs="仿宋"/>
          <w:color w:val="333333"/>
          <w:kern w:val="0"/>
          <w:sz w:val="28"/>
          <w:szCs w:val="28"/>
          <w:lang w:val="en-US" w:eastAsia="zh-CN"/>
        </w:rPr>
        <w:t>预计接待100次500人次，</w:t>
      </w:r>
      <w:r>
        <w:rPr>
          <w:rFonts w:hint="eastAsia" w:ascii="仿宋" w:hAnsi="仿宋" w:eastAsia="仿宋" w:cs="仿宋"/>
          <w:color w:val="333333"/>
          <w:kern w:val="0"/>
          <w:sz w:val="28"/>
          <w:szCs w:val="28"/>
        </w:rPr>
        <w:t>公务用车购置及运行维护费和出国考察费无预算安排</w:t>
      </w:r>
      <w:r>
        <w:rPr>
          <w:rFonts w:hint="eastAsia" w:ascii="仿宋" w:hAnsi="仿宋" w:eastAsia="仿宋" w:cs="仿宋"/>
          <w:color w:val="333333"/>
          <w:kern w:val="0"/>
          <w:sz w:val="28"/>
          <w:szCs w:val="28"/>
          <w:lang w:eastAsia="zh-CN"/>
        </w:rPr>
        <w:t>。</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2．“三公”经费预算执行情况</w:t>
      </w:r>
    </w:p>
    <w:p>
      <w:pPr>
        <w:widowControl/>
        <w:shd w:val="clear" w:color="auto" w:fill="FFFFFF"/>
        <w:spacing w:line="450" w:lineRule="atLeast"/>
        <w:ind w:firstLine="560"/>
        <w:rPr>
          <w:rFonts w:hint="default" w:ascii="仿宋" w:hAnsi="仿宋" w:eastAsia="仿宋"/>
          <w:kern w:val="0"/>
          <w:sz w:val="30"/>
          <w:szCs w:val="30"/>
          <w:lang w:val="en-US" w:eastAsia="zh-CN"/>
        </w:rPr>
      </w:pPr>
      <w:r>
        <w:rPr>
          <w:rFonts w:hint="eastAsia" w:ascii="仿宋" w:hAnsi="仿宋" w:eastAsia="仿宋"/>
          <w:kern w:val="0"/>
          <w:sz w:val="30"/>
          <w:szCs w:val="30"/>
          <w:shd w:val="clear" w:color="auto" w:fill="FFFFFF"/>
        </w:rPr>
        <w:t>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年，“三公”经费支出决算为</w:t>
      </w:r>
      <w:r>
        <w:rPr>
          <w:rFonts w:hint="eastAsia" w:ascii="仿宋" w:hAnsi="仿宋" w:eastAsia="仿宋"/>
          <w:kern w:val="0"/>
          <w:sz w:val="30"/>
          <w:szCs w:val="30"/>
          <w:shd w:val="clear" w:color="auto" w:fill="FFFFFF"/>
          <w:lang w:val="en-US" w:eastAsia="zh-CN"/>
        </w:rPr>
        <w:t>0</w:t>
      </w:r>
      <w:r>
        <w:rPr>
          <w:rFonts w:hint="eastAsia" w:ascii="仿宋" w:hAnsi="仿宋" w:eastAsia="仿宋"/>
          <w:kern w:val="0"/>
          <w:sz w:val="30"/>
          <w:szCs w:val="30"/>
          <w:shd w:val="clear" w:color="auto" w:fill="FFFFFF"/>
        </w:rPr>
        <w:t>万元，公务接待费</w:t>
      </w:r>
      <w:r>
        <w:rPr>
          <w:rFonts w:hint="eastAsia" w:ascii="仿宋" w:hAnsi="仿宋" w:eastAsia="仿宋"/>
          <w:kern w:val="0"/>
          <w:sz w:val="30"/>
          <w:szCs w:val="30"/>
          <w:shd w:val="clear" w:color="auto" w:fill="FFFFFF"/>
          <w:lang w:val="en-US" w:eastAsia="zh-CN"/>
        </w:rPr>
        <w:t>0万元，</w:t>
      </w:r>
      <w:r>
        <w:rPr>
          <w:rFonts w:hint="eastAsia" w:ascii="仿宋" w:hAnsi="仿宋" w:eastAsia="仿宋" w:cs="仿宋"/>
          <w:color w:val="333333"/>
          <w:kern w:val="0"/>
          <w:sz w:val="28"/>
          <w:szCs w:val="28"/>
          <w:lang w:eastAsia="zh-CN"/>
        </w:rPr>
        <w:t>接待</w:t>
      </w:r>
      <w:r>
        <w:rPr>
          <w:rFonts w:hint="eastAsia" w:ascii="仿宋" w:hAnsi="仿宋" w:eastAsia="仿宋" w:cs="仿宋"/>
          <w:color w:val="333333"/>
          <w:kern w:val="0"/>
          <w:sz w:val="28"/>
          <w:szCs w:val="28"/>
          <w:lang w:val="en-US" w:eastAsia="zh-CN"/>
        </w:rPr>
        <w:t>0次0人数，</w:t>
      </w:r>
      <w:r>
        <w:rPr>
          <w:rFonts w:hint="eastAsia" w:ascii="仿宋" w:hAnsi="仿宋" w:eastAsia="仿宋" w:cs="仿宋"/>
          <w:color w:val="333333"/>
          <w:kern w:val="0"/>
          <w:sz w:val="28"/>
          <w:szCs w:val="28"/>
        </w:rPr>
        <w:t>公务用车购置及运行维护费和出国考察费0万元</w:t>
      </w:r>
      <w:r>
        <w:rPr>
          <w:rFonts w:hint="eastAsia" w:ascii="仿宋" w:hAnsi="仿宋" w:eastAsia="仿宋" w:cs="仿宋"/>
          <w:color w:val="333333"/>
          <w:kern w:val="0"/>
          <w:sz w:val="28"/>
          <w:szCs w:val="28"/>
          <w:lang w:eastAsia="zh-CN"/>
        </w:rPr>
        <w:t>。</w:t>
      </w:r>
      <w:r>
        <w:rPr>
          <w:rFonts w:hint="eastAsia" w:ascii="仿宋" w:hAnsi="仿宋" w:eastAsia="仿宋"/>
          <w:kern w:val="0"/>
          <w:sz w:val="30"/>
          <w:szCs w:val="30"/>
          <w:shd w:val="clear" w:color="auto" w:fill="FFFFFF"/>
        </w:rPr>
        <w:t>支出比上年</w:t>
      </w:r>
      <w:r>
        <w:rPr>
          <w:rFonts w:hint="eastAsia" w:ascii="仿宋" w:hAnsi="仿宋" w:eastAsia="仿宋"/>
          <w:kern w:val="0"/>
          <w:sz w:val="30"/>
          <w:szCs w:val="30"/>
          <w:shd w:val="clear" w:color="auto" w:fill="FFFFFF"/>
          <w:lang w:eastAsia="zh-CN"/>
        </w:rPr>
        <w:t>减少</w:t>
      </w:r>
      <w:r>
        <w:rPr>
          <w:rFonts w:hint="eastAsia" w:ascii="仿宋" w:hAnsi="仿宋" w:eastAsia="仿宋"/>
          <w:kern w:val="0"/>
          <w:sz w:val="30"/>
          <w:szCs w:val="30"/>
          <w:shd w:val="clear" w:color="auto" w:fill="FFFFFF"/>
          <w:lang w:val="en-US" w:eastAsia="zh-CN"/>
        </w:rPr>
        <w:t>4万</w:t>
      </w:r>
      <w:r>
        <w:rPr>
          <w:rFonts w:hint="eastAsia" w:ascii="仿宋" w:hAnsi="仿宋" w:eastAsia="仿宋"/>
          <w:kern w:val="0"/>
          <w:sz w:val="30"/>
          <w:szCs w:val="30"/>
          <w:shd w:val="clear" w:color="auto" w:fill="FFFFFF"/>
        </w:rPr>
        <w:t>元，主要为</w:t>
      </w:r>
      <w:r>
        <w:rPr>
          <w:rFonts w:hint="eastAsia" w:ascii="仿宋" w:hAnsi="仿宋" w:eastAsia="仿宋"/>
          <w:kern w:val="0"/>
          <w:sz w:val="30"/>
          <w:szCs w:val="30"/>
          <w:shd w:val="clear" w:color="auto" w:fill="FFFFFF"/>
          <w:lang w:eastAsia="zh-CN"/>
        </w:rPr>
        <w:t>单位响应党中央的号召，节省接待开支，减少接待费用支出</w:t>
      </w:r>
      <w:r>
        <w:rPr>
          <w:rFonts w:hint="eastAsia" w:ascii="仿宋" w:hAnsi="仿宋" w:eastAsia="仿宋"/>
          <w:kern w:val="0"/>
          <w:sz w:val="30"/>
          <w:szCs w:val="30"/>
          <w:shd w:val="clear" w:color="auto" w:fill="FFFFFF"/>
          <w:lang w:val="en-US" w:eastAsia="zh-CN"/>
        </w:rPr>
        <w:t>。</w:t>
      </w:r>
    </w:p>
    <w:p>
      <w:pPr>
        <w:spacing w:line="560" w:lineRule="exact"/>
        <w:ind w:firstLine="602" w:firstLineChars="200"/>
        <w:rPr>
          <w:rFonts w:hint="eastAsia" w:ascii="黑体" w:hAnsi="黑体" w:eastAsia="黑体"/>
          <w:b/>
          <w:sz w:val="30"/>
          <w:szCs w:val="30"/>
        </w:rPr>
      </w:pPr>
      <w:r>
        <w:rPr>
          <w:rFonts w:hint="eastAsia" w:ascii="黑体" w:hAnsi="黑体" w:eastAsia="黑体"/>
          <w:b/>
          <w:sz w:val="30"/>
          <w:szCs w:val="30"/>
        </w:rPr>
        <w:t>三、专项支出</w:t>
      </w:r>
    </w:p>
    <w:p>
      <w:pPr>
        <w:spacing w:line="560" w:lineRule="exact"/>
        <w:ind w:firstLine="602" w:firstLineChars="200"/>
        <w:rPr>
          <w:rFonts w:hint="eastAsia" w:ascii="仿宋" w:hAnsi="仿宋" w:eastAsia="仿宋"/>
          <w:b/>
          <w:sz w:val="30"/>
          <w:szCs w:val="30"/>
        </w:rPr>
      </w:pPr>
      <w:r>
        <w:rPr>
          <w:rFonts w:hint="eastAsia" w:ascii="仿宋" w:hAnsi="仿宋" w:eastAsia="仿宋"/>
          <w:b/>
          <w:sz w:val="30"/>
          <w:szCs w:val="30"/>
        </w:rPr>
        <w:t>（一）、项目概况</w:t>
      </w:r>
    </w:p>
    <w:p>
      <w:pPr>
        <w:autoSpaceDE w:val="0"/>
        <w:autoSpaceDN w:val="0"/>
        <w:adjustRightInd w:val="0"/>
        <w:ind w:firstLine="900" w:firstLineChars="3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zh-CN"/>
        </w:rPr>
        <w:t>无专项项目支出</w:t>
      </w:r>
    </w:p>
    <w:p>
      <w:pPr>
        <w:pStyle w:val="14"/>
        <w:spacing w:after="0" w:line="641" w:lineRule="atLeast"/>
        <w:ind w:firstLine="641"/>
        <w:rPr>
          <w:rFonts w:hint="eastAsia" w:ascii="仿宋" w:hAnsi="仿宋" w:eastAsia="仿宋" w:cs="Times New Roman"/>
          <w:b/>
          <w:sz w:val="30"/>
          <w:szCs w:val="30"/>
        </w:rPr>
      </w:pPr>
      <w:r>
        <w:rPr>
          <w:rFonts w:hint="eastAsia" w:ascii="仿宋" w:hAnsi="仿宋" w:eastAsia="仿宋" w:cs="Times New Roman"/>
          <w:b/>
          <w:sz w:val="30"/>
          <w:szCs w:val="30"/>
        </w:rPr>
        <w:t>（二）、项目资金使用情况：</w:t>
      </w:r>
    </w:p>
    <w:p>
      <w:pPr>
        <w:pStyle w:val="14"/>
        <w:spacing w:after="0" w:line="641" w:lineRule="atLeast"/>
        <w:ind w:firstLine="641"/>
        <w:rPr>
          <w:rFonts w:hint="eastAsia" w:ascii="仿宋" w:hAnsi="仿宋" w:eastAsia="仿宋"/>
          <w:sz w:val="30"/>
          <w:szCs w:val="30"/>
          <w:lang w:val="en-US" w:eastAsia="zh-CN"/>
        </w:rPr>
      </w:pPr>
      <w:r>
        <w:rPr>
          <w:rFonts w:hint="eastAsia" w:ascii="仿宋" w:hAnsi="仿宋" w:eastAsia="仿宋" w:cs="Times New Roman"/>
          <w:sz w:val="30"/>
          <w:szCs w:val="30"/>
        </w:rPr>
        <w:t>２０１</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年度，本单位</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cs="Times New Roman"/>
          <w:sz w:val="30"/>
          <w:szCs w:val="30"/>
        </w:rPr>
        <w:t>万</w:t>
      </w:r>
      <w:r>
        <w:rPr>
          <w:rFonts w:hint="eastAsia" w:ascii="仿宋" w:hAnsi="仿宋" w:eastAsia="仿宋"/>
          <w:sz w:val="30"/>
          <w:szCs w:val="30"/>
        </w:rPr>
        <w:t>元</w:t>
      </w:r>
      <w:r>
        <w:rPr>
          <w:rFonts w:hint="eastAsia" w:ascii="仿宋" w:hAnsi="仿宋" w:eastAsia="仿宋"/>
          <w:sz w:val="30"/>
          <w:szCs w:val="30"/>
          <w:lang w:eastAsia="zh-CN"/>
        </w:rPr>
        <w:t>。</w:t>
      </w:r>
    </w:p>
    <w:p>
      <w:pPr>
        <w:spacing w:line="560" w:lineRule="exact"/>
        <w:ind w:firstLine="602" w:firstLineChars="200"/>
        <w:rPr>
          <w:rFonts w:hint="eastAsia" w:ascii="仿宋" w:hAnsi="仿宋" w:eastAsia="仿宋"/>
          <w:b/>
          <w:sz w:val="30"/>
          <w:szCs w:val="30"/>
        </w:rPr>
      </w:pPr>
      <w:r>
        <w:rPr>
          <w:rFonts w:hint="eastAsia" w:ascii="仿宋" w:hAnsi="仿宋" w:eastAsia="仿宋" w:cs="宋体"/>
          <w:b/>
          <w:sz w:val="30"/>
          <w:szCs w:val="30"/>
        </w:rPr>
        <w:t>（三）、</w:t>
      </w:r>
      <w:r>
        <w:rPr>
          <w:rFonts w:hint="eastAsia" w:ascii="仿宋" w:hAnsi="仿宋" w:eastAsia="仿宋"/>
          <w:b/>
          <w:sz w:val="30"/>
          <w:szCs w:val="30"/>
        </w:rPr>
        <w:t>项目绩效目标</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无</w:t>
      </w:r>
    </w:p>
    <w:p>
      <w:pPr>
        <w:spacing w:line="560" w:lineRule="exact"/>
        <w:ind w:firstLine="602" w:firstLineChars="200"/>
        <w:rPr>
          <w:rFonts w:hint="eastAsia" w:ascii="仿宋" w:hAnsi="仿宋" w:eastAsia="仿宋"/>
          <w:b/>
          <w:sz w:val="30"/>
          <w:szCs w:val="30"/>
        </w:rPr>
      </w:pPr>
      <w:r>
        <w:rPr>
          <w:rFonts w:hint="eastAsia" w:ascii="仿宋" w:hAnsi="仿宋" w:eastAsia="仿宋"/>
          <w:b/>
          <w:sz w:val="30"/>
          <w:szCs w:val="30"/>
        </w:rPr>
        <w:t>（四）项目资金使用及管理情况</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kern w:val="0"/>
          <w:sz w:val="30"/>
          <w:szCs w:val="30"/>
          <w:lang w:eastAsia="zh-CN"/>
        </w:rPr>
        <w:t>无</w:t>
      </w:r>
    </w:p>
    <w:p>
      <w:pPr>
        <w:spacing w:line="560" w:lineRule="exact"/>
        <w:ind w:firstLine="602" w:firstLineChars="200"/>
        <w:rPr>
          <w:rFonts w:hint="eastAsia" w:ascii="仿宋" w:hAnsi="仿宋" w:eastAsia="仿宋"/>
          <w:b/>
          <w:sz w:val="30"/>
          <w:szCs w:val="30"/>
        </w:rPr>
      </w:pPr>
      <w:r>
        <w:rPr>
          <w:rFonts w:hint="eastAsia" w:ascii="仿宋" w:hAnsi="仿宋" w:eastAsia="仿宋"/>
          <w:b/>
          <w:sz w:val="30"/>
          <w:szCs w:val="30"/>
        </w:rPr>
        <w:t>（五）、项目组织实施情况</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无</w:t>
      </w:r>
    </w:p>
    <w:p>
      <w:pPr>
        <w:adjustRightInd w:val="0"/>
        <w:snapToGrid w:val="0"/>
        <w:spacing w:line="600" w:lineRule="exact"/>
        <w:ind w:firstLine="602" w:firstLineChars="200"/>
        <w:rPr>
          <w:rFonts w:ascii="黑体" w:hAnsi="黑体" w:eastAsia="黑体"/>
          <w:b/>
          <w:sz w:val="30"/>
          <w:szCs w:val="30"/>
        </w:rPr>
      </w:pPr>
      <w:r>
        <w:rPr>
          <w:rFonts w:ascii="黑体" w:hAnsi="黑体" w:eastAsia="黑体"/>
          <w:b/>
          <w:sz w:val="30"/>
          <w:szCs w:val="30"/>
        </w:rPr>
        <w:t>四、</w:t>
      </w:r>
      <w:r>
        <w:rPr>
          <w:rFonts w:hint="eastAsia" w:ascii="黑体" w:hAnsi="黑体" w:eastAsia="黑体"/>
          <w:b/>
          <w:sz w:val="30"/>
          <w:szCs w:val="30"/>
        </w:rPr>
        <w:t>部门整体支出</w:t>
      </w:r>
      <w:r>
        <w:rPr>
          <w:rFonts w:ascii="黑体" w:hAnsi="黑体" w:eastAsia="黑体"/>
          <w:b/>
          <w:sz w:val="30"/>
          <w:szCs w:val="30"/>
        </w:rPr>
        <w:t>绩效情况</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我单位积极履职，强化管理，较好的完成了年度工作目标。通过加强预算收支管理，不断建立健全内部管理制度，梳理内部管理流程，部门整体支出管理水平得到提升。根据部门整体支出绩效评价指标体系，我单位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年度评价得分为</w:t>
      </w:r>
      <w:r>
        <w:rPr>
          <w:rFonts w:hint="eastAsia" w:ascii="仿宋" w:hAnsi="仿宋" w:eastAsia="仿宋"/>
          <w:kern w:val="0"/>
          <w:sz w:val="30"/>
          <w:szCs w:val="30"/>
          <w:shd w:val="clear" w:color="auto" w:fill="FFFFFF"/>
          <w:lang w:val="en-US" w:eastAsia="zh-CN"/>
        </w:rPr>
        <w:t>89</w:t>
      </w:r>
      <w:r>
        <w:rPr>
          <w:rFonts w:hint="eastAsia" w:ascii="仿宋" w:hAnsi="仿宋" w:eastAsia="仿宋"/>
          <w:kern w:val="0"/>
          <w:sz w:val="30"/>
          <w:szCs w:val="30"/>
          <w:shd w:val="clear" w:color="auto" w:fill="FFFFFF"/>
        </w:rPr>
        <w:t>分。部门整体支出绩效情况如下：</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1. 预算配置控制较好得</w:t>
      </w:r>
      <w:r>
        <w:rPr>
          <w:rFonts w:hint="eastAsia" w:ascii="仿宋" w:hAnsi="仿宋" w:eastAsia="仿宋"/>
          <w:kern w:val="0"/>
          <w:sz w:val="30"/>
          <w:szCs w:val="30"/>
          <w:shd w:val="clear" w:color="auto" w:fill="FFFFFF"/>
          <w:lang w:val="en-US" w:eastAsia="zh-CN"/>
        </w:rPr>
        <w:t>13</w:t>
      </w:r>
      <w:r>
        <w:rPr>
          <w:rFonts w:hint="eastAsia" w:ascii="仿宋" w:hAnsi="仿宋" w:eastAsia="仿宋"/>
          <w:kern w:val="0"/>
          <w:sz w:val="30"/>
          <w:szCs w:val="30"/>
          <w:shd w:val="clear" w:color="auto" w:fill="FFFFFF"/>
        </w:rPr>
        <w:t>分。其中：在职人员控制率：在职</w:t>
      </w:r>
      <w:r>
        <w:rPr>
          <w:rFonts w:hint="eastAsia" w:ascii="仿宋" w:hAnsi="仿宋" w:eastAsia="仿宋"/>
          <w:kern w:val="0"/>
          <w:sz w:val="30"/>
          <w:szCs w:val="30"/>
          <w:shd w:val="clear" w:color="auto" w:fill="FFFFFF"/>
          <w:lang w:val="en-US" w:eastAsia="zh-CN"/>
        </w:rPr>
        <w:t>13</w:t>
      </w:r>
      <w:r>
        <w:rPr>
          <w:rFonts w:hint="eastAsia" w:ascii="仿宋" w:hAnsi="仿宋" w:eastAsia="仿宋"/>
          <w:kern w:val="0"/>
          <w:sz w:val="30"/>
          <w:szCs w:val="30"/>
          <w:shd w:val="clear" w:color="auto" w:fill="FFFFFF"/>
        </w:rPr>
        <w:t>人/编制</w:t>
      </w:r>
      <w:r>
        <w:rPr>
          <w:rFonts w:hint="eastAsia" w:ascii="仿宋" w:hAnsi="仿宋" w:eastAsia="仿宋"/>
          <w:kern w:val="0"/>
          <w:sz w:val="30"/>
          <w:szCs w:val="30"/>
          <w:shd w:val="clear" w:color="auto" w:fill="FFFFFF"/>
          <w:lang w:val="en-US" w:eastAsia="zh-CN"/>
        </w:rPr>
        <w:t>13</w:t>
      </w:r>
      <w:r>
        <w:rPr>
          <w:rFonts w:hint="eastAsia" w:ascii="仿宋" w:hAnsi="仿宋" w:eastAsia="仿宋"/>
          <w:kern w:val="0"/>
          <w:sz w:val="30"/>
          <w:szCs w:val="30"/>
          <w:shd w:val="clear" w:color="auto" w:fill="FFFFFF"/>
        </w:rPr>
        <w:t>人*100%=</w:t>
      </w:r>
      <w:r>
        <w:rPr>
          <w:rFonts w:hint="eastAsia" w:ascii="仿宋" w:hAnsi="仿宋" w:eastAsia="仿宋"/>
          <w:kern w:val="0"/>
          <w:sz w:val="30"/>
          <w:szCs w:val="30"/>
          <w:shd w:val="clear" w:color="auto" w:fill="FFFFFF"/>
          <w:lang w:val="en-US" w:eastAsia="zh-CN"/>
        </w:rPr>
        <w:t>100</w:t>
      </w:r>
      <w:r>
        <w:rPr>
          <w:rFonts w:hint="eastAsia" w:ascii="仿宋" w:hAnsi="仿宋" w:eastAsia="仿宋"/>
          <w:kern w:val="0"/>
          <w:sz w:val="30"/>
          <w:szCs w:val="30"/>
          <w:shd w:val="clear" w:color="auto" w:fill="FFFFFF"/>
        </w:rPr>
        <w:t>%，得</w:t>
      </w:r>
      <w:r>
        <w:rPr>
          <w:rFonts w:hint="eastAsia" w:ascii="仿宋" w:hAnsi="仿宋" w:eastAsia="仿宋"/>
          <w:kern w:val="0"/>
          <w:sz w:val="30"/>
          <w:szCs w:val="30"/>
          <w:shd w:val="clear" w:color="auto" w:fill="FFFFFF"/>
          <w:lang w:val="en-US" w:eastAsia="zh-CN"/>
        </w:rPr>
        <w:t>5</w:t>
      </w:r>
      <w:r>
        <w:rPr>
          <w:rFonts w:hint="eastAsia" w:ascii="仿宋" w:hAnsi="仿宋" w:eastAsia="仿宋"/>
          <w:kern w:val="0"/>
          <w:sz w:val="30"/>
          <w:szCs w:val="30"/>
          <w:shd w:val="clear" w:color="auto" w:fill="FFFFFF"/>
        </w:rPr>
        <w:t>分；“三公经费”</w:t>
      </w:r>
      <w:r>
        <w:rPr>
          <w:rFonts w:hint="eastAsia" w:ascii="仿宋" w:hAnsi="仿宋" w:eastAsia="仿宋"/>
          <w:kern w:val="0"/>
          <w:sz w:val="30"/>
          <w:szCs w:val="30"/>
          <w:shd w:val="clear" w:color="auto" w:fill="FFFFFF"/>
          <w:lang w:eastAsia="zh-CN"/>
        </w:rPr>
        <w:t>变动率：（本年度“三公经费”</w:t>
      </w:r>
      <w:r>
        <w:rPr>
          <w:rFonts w:hint="eastAsia" w:ascii="仿宋" w:hAnsi="仿宋" w:eastAsia="仿宋"/>
          <w:kern w:val="0"/>
          <w:sz w:val="30"/>
          <w:szCs w:val="30"/>
          <w:shd w:val="clear" w:color="auto" w:fill="FFFFFF"/>
          <w:lang w:val="en-US" w:eastAsia="zh-CN"/>
        </w:rPr>
        <w:t>3-上年度“三公经费”</w:t>
      </w:r>
      <w:r>
        <w:rPr>
          <w:rFonts w:hint="eastAsia" w:ascii="仿宋" w:hAnsi="仿宋" w:eastAsia="仿宋"/>
          <w:kern w:val="0"/>
          <w:sz w:val="30"/>
          <w:szCs w:val="30"/>
          <w:shd w:val="clear" w:color="auto" w:fill="FFFFFF"/>
        </w:rPr>
        <w:t>预算数</w:t>
      </w:r>
      <w:r>
        <w:rPr>
          <w:rFonts w:hint="eastAsia" w:ascii="仿宋" w:hAnsi="仿宋" w:eastAsia="仿宋"/>
          <w:kern w:val="0"/>
          <w:sz w:val="30"/>
          <w:szCs w:val="30"/>
          <w:shd w:val="clear" w:color="auto" w:fill="FFFFFF"/>
          <w:lang w:val="en-US" w:eastAsia="zh-CN"/>
        </w:rPr>
        <w:t>4</w:t>
      </w:r>
      <w:r>
        <w:rPr>
          <w:rFonts w:hint="eastAsia" w:ascii="仿宋" w:hAnsi="仿宋" w:eastAsia="仿宋"/>
          <w:kern w:val="0"/>
          <w:sz w:val="30"/>
          <w:szCs w:val="30"/>
          <w:shd w:val="clear" w:color="auto" w:fill="FFFFFF"/>
          <w:lang w:eastAsia="zh-CN"/>
        </w:rPr>
        <w:t>）</w:t>
      </w:r>
      <w:r>
        <w:rPr>
          <w:rFonts w:hint="eastAsia" w:ascii="仿宋" w:hAnsi="仿宋" w:eastAsia="仿宋"/>
          <w:kern w:val="0"/>
          <w:sz w:val="30"/>
          <w:szCs w:val="30"/>
          <w:shd w:val="clear" w:color="auto" w:fill="FFFFFF"/>
          <w:lang w:val="en-US" w:eastAsia="zh-CN"/>
        </w:rPr>
        <w:t>/上年度“三公经费”预算数4</w:t>
      </w:r>
      <w:r>
        <w:rPr>
          <w:rFonts w:hint="eastAsia" w:ascii="仿宋" w:hAnsi="仿宋" w:eastAsia="仿宋" w:cs="仿宋"/>
          <w:kern w:val="0"/>
          <w:sz w:val="30"/>
          <w:szCs w:val="30"/>
          <w:shd w:val="clear" w:color="auto" w:fill="FFFFFF"/>
          <w:lang w:val="en-US" w:eastAsia="zh-CN"/>
        </w:rPr>
        <w:t>&lt;0</w:t>
      </w:r>
      <w:r>
        <w:rPr>
          <w:rFonts w:hint="eastAsia" w:ascii="仿宋" w:hAnsi="仿宋" w:eastAsia="仿宋"/>
          <w:kern w:val="0"/>
          <w:sz w:val="30"/>
          <w:szCs w:val="30"/>
          <w:shd w:val="clear" w:color="auto" w:fill="FFFFFF"/>
        </w:rPr>
        <w:t>，得８分。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 预算执行比较到位得</w:t>
      </w:r>
      <w:r>
        <w:rPr>
          <w:rFonts w:hint="eastAsia" w:ascii="仿宋" w:hAnsi="仿宋" w:eastAsia="仿宋"/>
          <w:kern w:val="0"/>
          <w:sz w:val="30"/>
          <w:szCs w:val="30"/>
          <w:shd w:val="clear" w:color="auto" w:fill="FFFFFF"/>
          <w:lang w:val="en-US" w:eastAsia="zh-CN"/>
        </w:rPr>
        <w:t>20</w:t>
      </w:r>
      <w:r>
        <w:rPr>
          <w:rFonts w:hint="eastAsia" w:ascii="仿宋" w:hAnsi="仿宋" w:eastAsia="仿宋"/>
          <w:kern w:val="0"/>
          <w:sz w:val="30"/>
          <w:szCs w:val="30"/>
          <w:shd w:val="clear" w:color="auto" w:fill="FFFFFF"/>
        </w:rPr>
        <w:t>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（1）预算完成率=（上年结转</w:t>
      </w:r>
      <w:r>
        <w:rPr>
          <w:rFonts w:hint="eastAsia" w:ascii="仿宋" w:hAnsi="仿宋" w:eastAsia="仿宋"/>
          <w:kern w:val="0"/>
          <w:sz w:val="30"/>
          <w:szCs w:val="30"/>
          <w:shd w:val="clear" w:color="auto" w:fill="FFFFFF"/>
          <w:lang w:val="en-US" w:eastAsia="zh-CN"/>
        </w:rPr>
        <w:t>0</w:t>
      </w:r>
      <w:r>
        <w:rPr>
          <w:rFonts w:hint="eastAsia" w:ascii="仿宋" w:hAnsi="仿宋" w:eastAsia="仿宋"/>
          <w:kern w:val="0"/>
          <w:sz w:val="30"/>
          <w:szCs w:val="30"/>
          <w:shd w:val="clear" w:color="auto" w:fill="FFFFFF"/>
        </w:rPr>
        <w:t>万元+年初预算数</w:t>
      </w:r>
      <w:r>
        <w:rPr>
          <w:rFonts w:hint="eastAsia" w:ascii="仿宋" w:hAnsi="仿宋" w:eastAsia="仿宋"/>
          <w:kern w:val="0"/>
          <w:sz w:val="30"/>
          <w:szCs w:val="30"/>
          <w:shd w:val="clear" w:color="auto" w:fill="FFFFFF"/>
          <w:lang w:val="en-US" w:eastAsia="zh-CN"/>
        </w:rPr>
        <w:t>125.94</w:t>
      </w:r>
      <w:r>
        <w:rPr>
          <w:rFonts w:hint="eastAsia" w:ascii="仿宋" w:hAnsi="仿宋" w:eastAsia="仿宋"/>
          <w:kern w:val="0"/>
          <w:sz w:val="30"/>
          <w:szCs w:val="30"/>
          <w:shd w:val="clear" w:color="auto" w:fill="FFFFFF"/>
        </w:rPr>
        <w:t>万元+本年追加预算</w:t>
      </w:r>
      <w:r>
        <w:rPr>
          <w:rFonts w:hint="eastAsia" w:ascii="仿宋" w:hAnsi="仿宋" w:eastAsia="仿宋"/>
          <w:kern w:val="0"/>
          <w:sz w:val="30"/>
          <w:szCs w:val="30"/>
          <w:shd w:val="clear" w:color="auto" w:fill="FFFFFF"/>
          <w:lang w:val="en-US" w:eastAsia="zh-CN"/>
        </w:rPr>
        <w:t>0</w:t>
      </w:r>
      <w:r>
        <w:rPr>
          <w:rFonts w:hint="eastAsia" w:ascii="仿宋" w:hAnsi="仿宋" w:eastAsia="仿宋"/>
          <w:kern w:val="0"/>
          <w:sz w:val="30"/>
          <w:szCs w:val="30"/>
          <w:shd w:val="clear" w:color="auto" w:fill="FFFFFF"/>
        </w:rPr>
        <w:t>万元-年末结余</w:t>
      </w:r>
      <w:r>
        <w:rPr>
          <w:rFonts w:hint="eastAsia" w:ascii="仿宋" w:hAnsi="仿宋" w:eastAsia="仿宋"/>
          <w:kern w:val="0"/>
          <w:sz w:val="30"/>
          <w:szCs w:val="30"/>
          <w:shd w:val="clear" w:color="auto" w:fill="FFFFFF"/>
          <w:lang w:val="en-US" w:eastAsia="zh-CN"/>
        </w:rPr>
        <w:t>0</w:t>
      </w:r>
      <w:r>
        <w:rPr>
          <w:rFonts w:hint="eastAsia" w:ascii="仿宋" w:hAnsi="仿宋" w:eastAsia="仿宋"/>
          <w:kern w:val="0"/>
          <w:sz w:val="30"/>
          <w:szCs w:val="30"/>
          <w:shd w:val="clear" w:color="auto" w:fill="FFFFFF"/>
        </w:rPr>
        <w:t>万元）/(上年结转</w:t>
      </w:r>
      <w:r>
        <w:rPr>
          <w:rFonts w:hint="eastAsia" w:ascii="仿宋" w:hAnsi="仿宋" w:eastAsia="仿宋"/>
          <w:kern w:val="0"/>
          <w:sz w:val="30"/>
          <w:szCs w:val="30"/>
          <w:shd w:val="clear" w:color="auto" w:fill="FFFFFF"/>
          <w:lang w:val="en-US" w:eastAsia="zh-CN"/>
        </w:rPr>
        <w:t>0</w:t>
      </w:r>
      <w:r>
        <w:rPr>
          <w:rFonts w:hint="eastAsia" w:ascii="仿宋" w:hAnsi="仿宋" w:eastAsia="仿宋"/>
          <w:kern w:val="0"/>
          <w:sz w:val="30"/>
          <w:szCs w:val="30"/>
          <w:shd w:val="clear" w:color="auto" w:fill="FFFFFF"/>
        </w:rPr>
        <w:t>万元+年初预算数</w:t>
      </w:r>
      <w:r>
        <w:rPr>
          <w:rFonts w:hint="eastAsia" w:ascii="仿宋" w:hAnsi="仿宋" w:eastAsia="仿宋"/>
          <w:kern w:val="0"/>
          <w:sz w:val="30"/>
          <w:szCs w:val="30"/>
          <w:shd w:val="clear" w:color="auto" w:fill="FFFFFF"/>
          <w:lang w:val="en-US" w:eastAsia="zh-CN"/>
        </w:rPr>
        <w:t>125.94</w:t>
      </w:r>
      <w:r>
        <w:rPr>
          <w:rFonts w:hint="eastAsia" w:ascii="仿宋" w:hAnsi="仿宋" w:eastAsia="仿宋"/>
          <w:kern w:val="0"/>
          <w:sz w:val="30"/>
          <w:szCs w:val="30"/>
          <w:shd w:val="clear" w:color="auto" w:fill="FFFFFF"/>
        </w:rPr>
        <w:t>万元+本年追加预算</w:t>
      </w:r>
      <w:r>
        <w:rPr>
          <w:rFonts w:hint="eastAsia" w:ascii="仿宋" w:hAnsi="仿宋" w:eastAsia="仿宋"/>
          <w:kern w:val="0"/>
          <w:sz w:val="30"/>
          <w:szCs w:val="30"/>
          <w:shd w:val="clear" w:color="auto" w:fill="FFFFFF"/>
          <w:lang w:val="en-US" w:eastAsia="zh-CN"/>
        </w:rPr>
        <w:t>0</w:t>
      </w:r>
      <w:r>
        <w:rPr>
          <w:rFonts w:hint="eastAsia" w:ascii="仿宋" w:hAnsi="仿宋" w:eastAsia="仿宋"/>
          <w:kern w:val="0"/>
          <w:sz w:val="30"/>
          <w:szCs w:val="30"/>
          <w:shd w:val="clear" w:color="auto" w:fill="FFFFFF"/>
        </w:rPr>
        <w:t>万元)*100%=</w:t>
      </w:r>
      <w:r>
        <w:rPr>
          <w:rFonts w:hint="eastAsia" w:ascii="仿宋" w:hAnsi="仿宋" w:eastAsia="仿宋"/>
          <w:kern w:val="0"/>
          <w:sz w:val="30"/>
          <w:szCs w:val="30"/>
          <w:shd w:val="clear" w:color="auto" w:fill="FFFFFF"/>
          <w:lang w:val="en-US" w:eastAsia="zh-CN"/>
        </w:rPr>
        <w:t>100</w:t>
      </w:r>
      <w:r>
        <w:rPr>
          <w:rFonts w:hint="eastAsia" w:ascii="仿宋" w:hAnsi="仿宋" w:eastAsia="仿宋"/>
          <w:kern w:val="0"/>
          <w:sz w:val="30"/>
          <w:szCs w:val="30"/>
          <w:shd w:val="clear" w:color="auto" w:fill="FFFFFF"/>
        </w:rPr>
        <w:t>%，得5分。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（2）预算控制率=（本年追加预算</w:t>
      </w:r>
      <w:r>
        <w:rPr>
          <w:rFonts w:hint="eastAsia" w:ascii="仿宋" w:hAnsi="仿宋" w:eastAsia="仿宋"/>
          <w:kern w:val="0"/>
          <w:sz w:val="30"/>
          <w:szCs w:val="30"/>
          <w:shd w:val="clear" w:color="auto" w:fill="FFFFFF"/>
          <w:lang w:val="en-US" w:eastAsia="zh-CN"/>
        </w:rPr>
        <w:t>0</w:t>
      </w:r>
      <w:r>
        <w:rPr>
          <w:rFonts w:hint="eastAsia" w:ascii="仿宋" w:hAnsi="仿宋" w:eastAsia="仿宋"/>
          <w:kern w:val="0"/>
          <w:sz w:val="30"/>
          <w:szCs w:val="30"/>
          <w:shd w:val="clear" w:color="auto" w:fill="FFFFFF"/>
        </w:rPr>
        <w:t>万元/年初预算数</w:t>
      </w:r>
      <w:r>
        <w:rPr>
          <w:rFonts w:hint="eastAsia" w:ascii="仿宋" w:hAnsi="仿宋" w:eastAsia="仿宋"/>
          <w:kern w:val="0"/>
          <w:sz w:val="30"/>
          <w:szCs w:val="30"/>
          <w:shd w:val="clear" w:color="auto" w:fill="FFFFFF"/>
          <w:lang w:val="en-US" w:eastAsia="zh-CN"/>
        </w:rPr>
        <w:t>125.94</w:t>
      </w:r>
      <w:r>
        <w:rPr>
          <w:rFonts w:hint="eastAsia" w:ascii="仿宋" w:hAnsi="仿宋" w:eastAsia="仿宋"/>
          <w:kern w:val="0"/>
          <w:sz w:val="30"/>
          <w:szCs w:val="30"/>
          <w:shd w:val="clear" w:color="auto" w:fill="FFFFFF"/>
        </w:rPr>
        <w:t>万元）*100%=</w:t>
      </w:r>
      <w:r>
        <w:rPr>
          <w:rFonts w:hint="eastAsia" w:ascii="仿宋" w:hAnsi="仿宋" w:eastAsia="仿宋"/>
          <w:kern w:val="0"/>
          <w:sz w:val="30"/>
          <w:szCs w:val="30"/>
          <w:shd w:val="clear" w:color="auto" w:fill="FFFFFF"/>
          <w:lang w:val="en-US" w:eastAsia="zh-CN"/>
        </w:rPr>
        <w:t>0</w:t>
      </w:r>
      <w:r>
        <w:rPr>
          <w:rFonts w:hint="eastAsia" w:ascii="仿宋" w:hAnsi="仿宋" w:eastAsia="仿宋"/>
          <w:kern w:val="0"/>
          <w:sz w:val="30"/>
          <w:szCs w:val="30"/>
          <w:shd w:val="clear" w:color="auto" w:fill="FFFFFF"/>
        </w:rPr>
        <w:t>%，得</w:t>
      </w:r>
      <w:r>
        <w:rPr>
          <w:rFonts w:hint="eastAsia" w:ascii="仿宋" w:hAnsi="仿宋" w:eastAsia="仿宋"/>
          <w:kern w:val="0"/>
          <w:sz w:val="30"/>
          <w:szCs w:val="30"/>
          <w:shd w:val="clear" w:color="auto" w:fill="FFFFFF"/>
          <w:lang w:val="en-US" w:eastAsia="zh-CN"/>
        </w:rPr>
        <w:t>5</w:t>
      </w:r>
      <w:r>
        <w:rPr>
          <w:rFonts w:hint="eastAsia" w:ascii="仿宋" w:hAnsi="仿宋" w:eastAsia="仿宋"/>
          <w:kern w:val="0"/>
          <w:sz w:val="30"/>
          <w:szCs w:val="30"/>
          <w:shd w:val="clear" w:color="auto" w:fill="FFFFFF"/>
        </w:rPr>
        <w:t>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（3）本年没有新建楼堂馆所按满分计得10分。</w:t>
      </w:r>
    </w:p>
    <w:p>
      <w:pPr>
        <w:widowControl/>
        <w:shd w:val="clear" w:color="auto" w:fill="FFFFFF"/>
        <w:spacing w:line="450" w:lineRule="atLeast"/>
        <w:ind w:firstLine="560"/>
        <w:rPr>
          <w:rFonts w:hint="eastAsia" w:ascii="仿宋" w:hAnsi="仿宋" w:eastAsia="仿宋"/>
          <w:kern w:val="0"/>
          <w:sz w:val="30"/>
          <w:szCs w:val="30"/>
          <w:shd w:val="clear" w:color="auto" w:fill="FFFFFF"/>
        </w:rPr>
      </w:pPr>
      <w:r>
        <w:rPr>
          <w:rFonts w:hint="eastAsia" w:ascii="仿宋" w:hAnsi="仿宋" w:eastAsia="仿宋"/>
          <w:kern w:val="0"/>
          <w:sz w:val="30"/>
          <w:szCs w:val="30"/>
          <w:shd w:val="clear" w:color="auto" w:fill="FFFFFF"/>
        </w:rPr>
        <w:t>3. 预算管理急需加强，制度执行总体较为有效，但仍需进一步强化。得</w:t>
      </w:r>
      <w:r>
        <w:rPr>
          <w:rFonts w:hint="eastAsia" w:ascii="仿宋" w:hAnsi="仿宋" w:eastAsia="仿宋"/>
          <w:kern w:val="0"/>
          <w:sz w:val="30"/>
          <w:szCs w:val="30"/>
          <w:shd w:val="clear" w:color="auto" w:fill="FFFFFF"/>
          <w:lang w:val="en-US" w:eastAsia="zh-CN"/>
        </w:rPr>
        <w:t>33</w:t>
      </w:r>
      <w:r>
        <w:rPr>
          <w:rFonts w:hint="eastAsia" w:ascii="仿宋" w:hAnsi="仿宋" w:eastAsia="仿宋"/>
          <w:kern w:val="0"/>
          <w:sz w:val="30"/>
          <w:szCs w:val="30"/>
          <w:shd w:val="clear" w:color="auto" w:fill="FFFFFF"/>
        </w:rPr>
        <w:t>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（1）公用经费控制率=（实际支出公用经费总额</w:t>
      </w:r>
      <w:r>
        <w:rPr>
          <w:rFonts w:hint="eastAsia" w:ascii="仿宋" w:hAnsi="仿宋" w:eastAsia="仿宋"/>
          <w:kern w:val="0"/>
          <w:sz w:val="30"/>
          <w:szCs w:val="30"/>
          <w:shd w:val="clear" w:color="auto" w:fill="FFFFFF"/>
          <w:lang w:val="en-US" w:eastAsia="zh-CN"/>
        </w:rPr>
        <w:t>18.81</w:t>
      </w:r>
      <w:r>
        <w:rPr>
          <w:rFonts w:hint="eastAsia" w:ascii="仿宋" w:hAnsi="仿宋" w:eastAsia="仿宋"/>
          <w:kern w:val="0"/>
          <w:sz w:val="30"/>
          <w:szCs w:val="30"/>
          <w:shd w:val="clear" w:color="auto" w:fill="FFFFFF"/>
        </w:rPr>
        <w:t>万元/预算安排公用经费总额</w:t>
      </w:r>
      <w:r>
        <w:rPr>
          <w:rFonts w:hint="eastAsia" w:ascii="仿宋" w:hAnsi="仿宋" w:eastAsia="仿宋"/>
          <w:kern w:val="0"/>
          <w:sz w:val="30"/>
          <w:szCs w:val="30"/>
          <w:shd w:val="clear" w:color="auto" w:fill="FFFFFF"/>
          <w:lang w:val="en-US" w:eastAsia="zh-CN"/>
        </w:rPr>
        <w:t>12.32</w:t>
      </w:r>
      <w:r>
        <w:rPr>
          <w:rFonts w:hint="eastAsia" w:ascii="仿宋" w:hAnsi="仿宋" w:eastAsia="仿宋"/>
          <w:kern w:val="0"/>
          <w:sz w:val="30"/>
          <w:szCs w:val="30"/>
          <w:shd w:val="clear" w:color="auto" w:fill="FFFFFF"/>
        </w:rPr>
        <w:t>万元）*100%=</w:t>
      </w:r>
      <w:r>
        <w:rPr>
          <w:rFonts w:hint="eastAsia" w:ascii="仿宋" w:hAnsi="仿宋" w:eastAsia="仿宋"/>
          <w:kern w:val="0"/>
          <w:sz w:val="30"/>
          <w:szCs w:val="30"/>
          <w:shd w:val="clear" w:color="auto" w:fill="FFFFFF"/>
          <w:lang w:val="en-US" w:eastAsia="zh-CN"/>
        </w:rPr>
        <w:t>153</w:t>
      </w:r>
      <w:r>
        <w:rPr>
          <w:rFonts w:hint="eastAsia" w:ascii="仿宋" w:hAnsi="仿宋" w:eastAsia="仿宋"/>
          <w:kern w:val="0"/>
          <w:sz w:val="30"/>
          <w:szCs w:val="30"/>
          <w:shd w:val="clear" w:color="auto" w:fill="FFFFFF"/>
        </w:rPr>
        <w:t>%，得０分；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 “三公”经费控制率=（“三公经费”实际支出数</w:t>
      </w:r>
      <w:r>
        <w:rPr>
          <w:rFonts w:hint="eastAsia" w:ascii="仿宋" w:hAnsi="仿宋" w:eastAsia="仿宋"/>
          <w:kern w:val="0"/>
          <w:sz w:val="30"/>
          <w:szCs w:val="30"/>
          <w:shd w:val="clear" w:color="auto" w:fill="FFFFFF"/>
          <w:lang w:val="en-US" w:eastAsia="zh-CN"/>
        </w:rPr>
        <w:t>0</w:t>
      </w:r>
      <w:r>
        <w:rPr>
          <w:rFonts w:hint="eastAsia" w:ascii="仿宋" w:hAnsi="仿宋" w:eastAsia="仿宋"/>
          <w:kern w:val="0"/>
          <w:sz w:val="30"/>
          <w:szCs w:val="30"/>
          <w:shd w:val="clear" w:color="auto" w:fill="FFFFFF"/>
        </w:rPr>
        <w:t>万元/“三公经费”预算安排数</w:t>
      </w:r>
      <w:r>
        <w:rPr>
          <w:rFonts w:hint="eastAsia" w:ascii="仿宋" w:hAnsi="仿宋" w:eastAsia="仿宋"/>
          <w:kern w:val="0"/>
          <w:sz w:val="30"/>
          <w:szCs w:val="30"/>
          <w:shd w:val="clear" w:color="auto" w:fill="FFFFFF"/>
          <w:lang w:val="en-US" w:eastAsia="zh-CN"/>
        </w:rPr>
        <w:t>3</w:t>
      </w:r>
      <w:r>
        <w:rPr>
          <w:rFonts w:hint="eastAsia" w:ascii="仿宋" w:hAnsi="仿宋" w:eastAsia="仿宋"/>
          <w:kern w:val="0"/>
          <w:sz w:val="30"/>
          <w:szCs w:val="30"/>
          <w:shd w:val="clear" w:color="auto" w:fill="FFFFFF"/>
        </w:rPr>
        <w:t>万元）*100%=</w:t>
      </w:r>
      <w:r>
        <w:rPr>
          <w:rFonts w:hint="eastAsia" w:ascii="仿宋" w:hAnsi="仿宋" w:eastAsia="仿宋"/>
          <w:kern w:val="0"/>
          <w:sz w:val="30"/>
          <w:szCs w:val="30"/>
          <w:shd w:val="clear" w:color="auto" w:fill="FFFFFF"/>
          <w:lang w:val="en-US" w:eastAsia="zh-CN"/>
        </w:rPr>
        <w:t>0</w:t>
      </w:r>
      <w:r>
        <w:rPr>
          <w:rFonts w:hint="eastAsia" w:ascii="仿宋" w:hAnsi="仿宋" w:eastAsia="仿宋"/>
          <w:kern w:val="0"/>
          <w:sz w:val="30"/>
          <w:szCs w:val="30"/>
          <w:shd w:val="clear" w:color="auto" w:fill="FFFFFF"/>
        </w:rPr>
        <w:t>%，计</w:t>
      </w:r>
      <w:r>
        <w:rPr>
          <w:rFonts w:hint="eastAsia" w:ascii="仿宋" w:hAnsi="仿宋" w:eastAsia="仿宋"/>
          <w:kern w:val="0"/>
          <w:sz w:val="30"/>
          <w:szCs w:val="30"/>
          <w:shd w:val="clear" w:color="auto" w:fill="FFFFFF"/>
          <w:lang w:val="en-US" w:eastAsia="zh-CN"/>
        </w:rPr>
        <w:t>8</w:t>
      </w:r>
      <w:r>
        <w:rPr>
          <w:rFonts w:hint="eastAsia" w:ascii="仿宋" w:hAnsi="仿宋" w:eastAsia="仿宋"/>
          <w:kern w:val="0"/>
          <w:sz w:val="30"/>
          <w:szCs w:val="30"/>
          <w:shd w:val="clear" w:color="auto" w:fill="FFFFFF"/>
        </w:rPr>
        <w:t>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（3）政府采购执行率=（实际政府采购金额与政府采购预算金额 一致）*100%=100%，得6分。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4）管理制度健全性得８分：有内部财务管理制度、内部控制制度、会计核算制度等管理制度，2分；有本部门厉行节约制度，2分；相关管理制度合法、合规、完整，2分；相关管理制度有执行，执行力度还待加强，有考核制度，记２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5）资金使用合规性得６分：本年度支出的所有资金均由县财政局国库支付，支出符合国家财经法规和财务管理制度规定以及有关专项资金管理办法的规定；资金拨付有完整的审批程序和手续；支出符合部门预算批复的用途；资金使用无截留、挤占、挪用、虚列支出等情况。</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（6）预决算信息公开性得5分：一是按规定在县政府门户网站公开信息；二是基础数据信息和会计信息资料真实、完整、准确。</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4.职责履行得8分：201</w:t>
      </w:r>
      <w:r>
        <w:rPr>
          <w:rFonts w:hint="eastAsia" w:ascii="仿宋" w:hAnsi="仿宋" w:eastAsia="仿宋"/>
          <w:kern w:val="0"/>
          <w:sz w:val="30"/>
          <w:szCs w:val="30"/>
          <w:shd w:val="clear" w:color="auto" w:fill="FFFFFF"/>
          <w:lang w:val="en-US" w:eastAsia="zh-CN"/>
        </w:rPr>
        <w:t>9</w:t>
      </w:r>
      <w:r>
        <w:rPr>
          <w:rFonts w:hint="eastAsia" w:ascii="仿宋" w:hAnsi="仿宋" w:eastAsia="仿宋"/>
          <w:kern w:val="0"/>
          <w:sz w:val="30"/>
          <w:szCs w:val="30"/>
          <w:shd w:val="clear" w:color="auto" w:fill="FFFFFF"/>
        </w:rPr>
        <w:t>年我单位在全体干部职工的共同努力下圆满出色完成了各项工作目标和任务。</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5.履职效益得1</w:t>
      </w:r>
      <w:r>
        <w:rPr>
          <w:rFonts w:hint="eastAsia" w:ascii="仿宋" w:hAnsi="仿宋" w:eastAsia="仿宋"/>
          <w:kern w:val="0"/>
          <w:sz w:val="30"/>
          <w:szCs w:val="30"/>
          <w:shd w:val="clear" w:color="auto" w:fill="FFFFFF"/>
          <w:lang w:val="en-US" w:eastAsia="zh-CN"/>
        </w:rPr>
        <w:t>5</w:t>
      </w:r>
      <w:r>
        <w:rPr>
          <w:rFonts w:hint="eastAsia" w:ascii="仿宋" w:hAnsi="仿宋" w:eastAsia="仿宋"/>
          <w:kern w:val="0"/>
          <w:sz w:val="30"/>
          <w:szCs w:val="30"/>
          <w:shd w:val="clear" w:color="auto" w:fill="FFFFFF"/>
        </w:rPr>
        <w:t>分。</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（1）经济效益、社会效益得６分：我单位的各方面工作都得到社会大众的肯定和好评。</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（2）机关工作整体满意度得</w:t>
      </w:r>
      <w:r>
        <w:rPr>
          <w:rFonts w:hint="eastAsia" w:ascii="仿宋" w:hAnsi="仿宋" w:eastAsia="仿宋"/>
          <w:kern w:val="0"/>
          <w:sz w:val="30"/>
          <w:szCs w:val="30"/>
          <w:shd w:val="clear" w:color="auto" w:fill="FFFFFF"/>
          <w:lang w:val="en-US" w:eastAsia="zh-CN"/>
        </w:rPr>
        <w:t>3</w:t>
      </w:r>
      <w:r>
        <w:rPr>
          <w:rFonts w:hint="eastAsia" w:ascii="仿宋" w:hAnsi="仿宋" w:eastAsia="仿宋"/>
          <w:kern w:val="0"/>
          <w:sz w:val="30"/>
          <w:szCs w:val="30"/>
          <w:shd w:val="clear" w:color="auto" w:fill="FFFFFF"/>
        </w:rPr>
        <w:t>分：我单位不断改善行政管理、严格经费及资产管理，改进文风会风，精简会议，提高了行政效率，降低了行政成本。</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（3）社会公众或服务对象满意度得６分：在社会调查中满意度为９８%，得６分。</w:t>
      </w:r>
    </w:p>
    <w:p>
      <w:pPr>
        <w:widowControl/>
        <w:shd w:val="clear" w:color="auto" w:fill="FFFFFF"/>
        <w:spacing w:line="450" w:lineRule="atLeast"/>
        <w:ind w:firstLine="560"/>
        <w:rPr>
          <w:rFonts w:ascii="黑体" w:hAnsi="黑体" w:eastAsia="黑体"/>
          <w:b/>
          <w:kern w:val="0"/>
          <w:sz w:val="30"/>
          <w:szCs w:val="30"/>
        </w:rPr>
      </w:pPr>
      <w:r>
        <w:rPr>
          <w:rFonts w:hint="eastAsia" w:ascii="黑体" w:hAnsi="黑体" w:eastAsia="黑体"/>
          <w:b/>
          <w:kern w:val="0"/>
          <w:sz w:val="30"/>
          <w:szCs w:val="30"/>
          <w:shd w:val="clear" w:color="auto" w:fill="FFFFFF"/>
        </w:rPr>
        <w:t>六、 今后工作努力方向</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1、细化预算编制工作，认真做好预算的编制。进一步加强单位内部机构各股室的预算管理意识，严格按照预算编制的相关制度和要求进行预算编制。</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widowControl/>
        <w:shd w:val="clear" w:color="auto" w:fill="FFFFFF"/>
        <w:spacing w:line="450" w:lineRule="atLeast"/>
        <w:ind w:firstLine="560"/>
        <w:rPr>
          <w:rFonts w:ascii="仿宋" w:hAnsi="仿宋" w:eastAsia="仿宋"/>
          <w:kern w:val="0"/>
          <w:sz w:val="30"/>
          <w:szCs w:val="30"/>
        </w:rPr>
      </w:pPr>
      <w:r>
        <w:rPr>
          <w:rFonts w:hint="eastAsia" w:ascii="仿宋" w:hAnsi="仿宋" w:eastAsia="仿宋"/>
          <w:kern w:val="0"/>
          <w:sz w:val="30"/>
          <w:szCs w:val="30"/>
          <w:shd w:val="clear" w:color="auto" w:fill="FFFFFF"/>
        </w:rPr>
        <w:t>4、对相关人员加强培训，特别是针对《预算法》、《行政事业单位会计制度》等学习培训，规范部门预算收支核算，切实提高部门预算收支管理水平。</w:t>
      </w:r>
    </w:p>
    <w:p>
      <w:pPr>
        <w:adjustRightInd w:val="0"/>
        <w:snapToGrid w:val="0"/>
        <w:spacing w:line="600" w:lineRule="exact"/>
        <w:ind w:firstLine="602" w:firstLineChars="200"/>
        <w:rPr>
          <w:rFonts w:ascii="黑体" w:hAnsi="黑体" w:eastAsia="黑体"/>
          <w:b/>
          <w:sz w:val="30"/>
          <w:szCs w:val="30"/>
        </w:rPr>
      </w:pPr>
      <w:r>
        <w:rPr>
          <w:rFonts w:hint="eastAsia" w:ascii="黑体" w:hAnsi="黑体" w:eastAsia="黑体"/>
          <w:b/>
          <w:sz w:val="30"/>
          <w:szCs w:val="30"/>
        </w:rPr>
        <w:t>七、存在的主要问题</w:t>
      </w:r>
    </w:p>
    <w:p>
      <w:pPr>
        <w:adjustRightInd w:val="0"/>
        <w:snapToGrid w:val="0"/>
        <w:spacing w:line="60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公用经费控制率比较大，实际支出公用经费总额比预算安排的公用经费总额要大，今后一定严格控制公用经费支出，降低公用经费控制率。</w:t>
      </w:r>
    </w:p>
    <w:p>
      <w:pPr>
        <w:adjustRightInd w:val="0"/>
        <w:snapToGrid w:val="0"/>
        <w:spacing w:line="600" w:lineRule="exact"/>
        <w:ind w:firstLine="602" w:firstLineChars="200"/>
        <w:rPr>
          <w:rFonts w:ascii="黑体" w:hAnsi="黑体" w:eastAsia="黑体"/>
          <w:b/>
          <w:sz w:val="30"/>
          <w:szCs w:val="30"/>
        </w:rPr>
      </w:pPr>
      <w:r>
        <w:rPr>
          <w:rFonts w:hint="eastAsia" w:ascii="黑体" w:hAnsi="黑体" w:eastAsia="黑体"/>
          <w:b/>
          <w:sz w:val="30"/>
          <w:szCs w:val="30"/>
        </w:rPr>
        <w:t>八</w:t>
      </w:r>
      <w:r>
        <w:rPr>
          <w:rFonts w:ascii="黑体" w:hAnsi="黑体" w:eastAsia="黑体"/>
          <w:b/>
          <w:sz w:val="30"/>
          <w:szCs w:val="30"/>
        </w:rPr>
        <w:t>、</w:t>
      </w:r>
      <w:r>
        <w:rPr>
          <w:rFonts w:hint="eastAsia" w:ascii="黑体" w:hAnsi="黑体" w:eastAsia="黑体"/>
          <w:b/>
          <w:sz w:val="30"/>
          <w:szCs w:val="30"/>
        </w:rPr>
        <w:t>改进措施和有关建议</w:t>
      </w:r>
    </w:p>
    <w:p>
      <w:pPr>
        <w:rPr>
          <w:rFonts w:hint="default" w:ascii="仿宋" w:hAnsi="仿宋" w:eastAsia="仿宋"/>
          <w:sz w:val="30"/>
          <w:szCs w:val="30"/>
          <w:lang w:val="en-US" w:eastAsia="zh-CN"/>
        </w:rPr>
      </w:pPr>
      <w:r>
        <w:rPr>
          <w:rFonts w:hint="eastAsia" w:ascii="仿宋" w:hAnsi="仿宋" w:eastAsia="仿宋"/>
          <w:sz w:val="30"/>
          <w:szCs w:val="30"/>
          <w:lang w:val="en-US" w:eastAsia="zh-CN"/>
        </w:rPr>
        <w:t xml:space="preserve">    厉行节约，严格控制接待费、差旅费和其他公用开支。</w:t>
      </w:r>
    </w:p>
    <w:p>
      <w:pPr>
        <w:ind w:firstLine="640" w:firstLineChars="200"/>
        <w:jc w:val="left"/>
        <w:rPr>
          <w:rFonts w:hint="eastAsia" w:ascii="黑体" w:hAnsi="黑体" w:eastAsia="黑体" w:cs="黑体"/>
          <w:color w:val="000000"/>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w Cen MT">
    <w:altName w:val="Segoe Print"/>
    <w:panose1 w:val="020B0602020104020603"/>
    <w:charset w:val="00"/>
    <w:family w:val="swiss"/>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8674E"/>
    <w:multiLevelType w:val="singleLevel"/>
    <w:tmpl w:val="60B8674E"/>
    <w:lvl w:ilvl="0" w:tentative="0">
      <w:start w:val="1"/>
      <w:numFmt w:val="decimal"/>
      <w:suff w:val="nothing"/>
      <w:lvlText w:val="%1、"/>
      <w:lvlJc w:val="left"/>
    </w:lvl>
  </w:abstractNum>
  <w:abstractNum w:abstractNumId="1">
    <w:nsid w:val="60B96EC9"/>
    <w:multiLevelType w:val="singleLevel"/>
    <w:tmpl w:val="60B96EC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A8E"/>
    <w:rsid w:val="0000396C"/>
    <w:rsid w:val="00006D5B"/>
    <w:rsid w:val="00014F8D"/>
    <w:rsid w:val="0002580F"/>
    <w:rsid w:val="00045381"/>
    <w:rsid w:val="00053B5E"/>
    <w:rsid w:val="00054F30"/>
    <w:rsid w:val="00063E5A"/>
    <w:rsid w:val="00067E96"/>
    <w:rsid w:val="00071237"/>
    <w:rsid w:val="000722E1"/>
    <w:rsid w:val="000B0A22"/>
    <w:rsid w:val="000D6264"/>
    <w:rsid w:val="000D67F9"/>
    <w:rsid w:val="000D734F"/>
    <w:rsid w:val="0010547A"/>
    <w:rsid w:val="001126DE"/>
    <w:rsid w:val="00121BEB"/>
    <w:rsid w:val="00121CF7"/>
    <w:rsid w:val="001313C1"/>
    <w:rsid w:val="0013198D"/>
    <w:rsid w:val="001374CC"/>
    <w:rsid w:val="0014319B"/>
    <w:rsid w:val="0016239A"/>
    <w:rsid w:val="001738C6"/>
    <w:rsid w:val="00196737"/>
    <w:rsid w:val="001B2D55"/>
    <w:rsid w:val="001B405B"/>
    <w:rsid w:val="001C55ED"/>
    <w:rsid w:val="001C76D8"/>
    <w:rsid w:val="001C7DF1"/>
    <w:rsid w:val="001D0B9C"/>
    <w:rsid w:val="001F2ECD"/>
    <w:rsid w:val="001F6302"/>
    <w:rsid w:val="00221C69"/>
    <w:rsid w:val="0022273F"/>
    <w:rsid w:val="00223991"/>
    <w:rsid w:val="00223992"/>
    <w:rsid w:val="00277713"/>
    <w:rsid w:val="00280052"/>
    <w:rsid w:val="002831E7"/>
    <w:rsid w:val="00287575"/>
    <w:rsid w:val="002921FD"/>
    <w:rsid w:val="002E53F4"/>
    <w:rsid w:val="002F06C2"/>
    <w:rsid w:val="002F3363"/>
    <w:rsid w:val="002F7152"/>
    <w:rsid w:val="00302072"/>
    <w:rsid w:val="0031206E"/>
    <w:rsid w:val="00312528"/>
    <w:rsid w:val="0032659A"/>
    <w:rsid w:val="00331212"/>
    <w:rsid w:val="003368E2"/>
    <w:rsid w:val="00342ACE"/>
    <w:rsid w:val="0034481E"/>
    <w:rsid w:val="00366933"/>
    <w:rsid w:val="003946BD"/>
    <w:rsid w:val="003B595F"/>
    <w:rsid w:val="003B62C4"/>
    <w:rsid w:val="003C0E07"/>
    <w:rsid w:val="003C2845"/>
    <w:rsid w:val="003C55FC"/>
    <w:rsid w:val="003D12D8"/>
    <w:rsid w:val="003D6D54"/>
    <w:rsid w:val="003E6AD9"/>
    <w:rsid w:val="003F0B3B"/>
    <w:rsid w:val="00404E19"/>
    <w:rsid w:val="0042466C"/>
    <w:rsid w:val="00427E6F"/>
    <w:rsid w:val="004428B6"/>
    <w:rsid w:val="00443EB8"/>
    <w:rsid w:val="00445114"/>
    <w:rsid w:val="00446B1E"/>
    <w:rsid w:val="00456DB2"/>
    <w:rsid w:val="004663EB"/>
    <w:rsid w:val="00474309"/>
    <w:rsid w:val="004908FF"/>
    <w:rsid w:val="00490C44"/>
    <w:rsid w:val="00490D3D"/>
    <w:rsid w:val="004A03D3"/>
    <w:rsid w:val="004A5F66"/>
    <w:rsid w:val="004C0935"/>
    <w:rsid w:val="004C441C"/>
    <w:rsid w:val="004C668D"/>
    <w:rsid w:val="004E3160"/>
    <w:rsid w:val="004E6C9F"/>
    <w:rsid w:val="004F2857"/>
    <w:rsid w:val="00512960"/>
    <w:rsid w:val="0051730E"/>
    <w:rsid w:val="00531E52"/>
    <w:rsid w:val="005320D8"/>
    <w:rsid w:val="0054376C"/>
    <w:rsid w:val="00557DB6"/>
    <w:rsid w:val="00561D91"/>
    <w:rsid w:val="005625A1"/>
    <w:rsid w:val="00587949"/>
    <w:rsid w:val="00590662"/>
    <w:rsid w:val="005A23EB"/>
    <w:rsid w:val="005A2EE8"/>
    <w:rsid w:val="005A750C"/>
    <w:rsid w:val="005B0C2A"/>
    <w:rsid w:val="005B7510"/>
    <w:rsid w:val="005C6820"/>
    <w:rsid w:val="005D2748"/>
    <w:rsid w:val="005D3D52"/>
    <w:rsid w:val="005E7021"/>
    <w:rsid w:val="005F2BCA"/>
    <w:rsid w:val="006266A6"/>
    <w:rsid w:val="006500DF"/>
    <w:rsid w:val="00655CE1"/>
    <w:rsid w:val="00655FC1"/>
    <w:rsid w:val="00674220"/>
    <w:rsid w:val="00675927"/>
    <w:rsid w:val="006915FE"/>
    <w:rsid w:val="006C4007"/>
    <w:rsid w:val="006E4423"/>
    <w:rsid w:val="007009FC"/>
    <w:rsid w:val="007022E9"/>
    <w:rsid w:val="00713E89"/>
    <w:rsid w:val="0072314F"/>
    <w:rsid w:val="00742295"/>
    <w:rsid w:val="0075782C"/>
    <w:rsid w:val="00760D69"/>
    <w:rsid w:val="00762EFC"/>
    <w:rsid w:val="0077261D"/>
    <w:rsid w:val="00781171"/>
    <w:rsid w:val="007835E0"/>
    <w:rsid w:val="0078383A"/>
    <w:rsid w:val="00787EE9"/>
    <w:rsid w:val="0079157A"/>
    <w:rsid w:val="007942A0"/>
    <w:rsid w:val="00796196"/>
    <w:rsid w:val="007A2DC2"/>
    <w:rsid w:val="007B0008"/>
    <w:rsid w:val="007B443C"/>
    <w:rsid w:val="007B4E49"/>
    <w:rsid w:val="007D0245"/>
    <w:rsid w:val="007D620F"/>
    <w:rsid w:val="007D7671"/>
    <w:rsid w:val="007F6521"/>
    <w:rsid w:val="00823D36"/>
    <w:rsid w:val="00825C8A"/>
    <w:rsid w:val="00842795"/>
    <w:rsid w:val="00860953"/>
    <w:rsid w:val="00863D3A"/>
    <w:rsid w:val="00866C97"/>
    <w:rsid w:val="0087218D"/>
    <w:rsid w:val="008727A8"/>
    <w:rsid w:val="0087620B"/>
    <w:rsid w:val="00877367"/>
    <w:rsid w:val="0088058C"/>
    <w:rsid w:val="00885622"/>
    <w:rsid w:val="00885802"/>
    <w:rsid w:val="00890012"/>
    <w:rsid w:val="008921D4"/>
    <w:rsid w:val="00893F81"/>
    <w:rsid w:val="00895A40"/>
    <w:rsid w:val="008A35DA"/>
    <w:rsid w:val="008A47C8"/>
    <w:rsid w:val="008A4F79"/>
    <w:rsid w:val="008C0D0B"/>
    <w:rsid w:val="008F3807"/>
    <w:rsid w:val="008F7BE8"/>
    <w:rsid w:val="00902D71"/>
    <w:rsid w:val="009138F9"/>
    <w:rsid w:val="00926A56"/>
    <w:rsid w:val="0094203D"/>
    <w:rsid w:val="00955403"/>
    <w:rsid w:val="00965253"/>
    <w:rsid w:val="009664AF"/>
    <w:rsid w:val="00980BD5"/>
    <w:rsid w:val="009829F6"/>
    <w:rsid w:val="009D4755"/>
    <w:rsid w:val="009E412D"/>
    <w:rsid w:val="009F0E87"/>
    <w:rsid w:val="009F280A"/>
    <w:rsid w:val="009F4F41"/>
    <w:rsid w:val="00A00FB3"/>
    <w:rsid w:val="00A0516B"/>
    <w:rsid w:val="00A141F0"/>
    <w:rsid w:val="00A16602"/>
    <w:rsid w:val="00A16963"/>
    <w:rsid w:val="00A175D1"/>
    <w:rsid w:val="00A20F34"/>
    <w:rsid w:val="00A245FF"/>
    <w:rsid w:val="00A3341D"/>
    <w:rsid w:val="00A374E2"/>
    <w:rsid w:val="00A45175"/>
    <w:rsid w:val="00A611F5"/>
    <w:rsid w:val="00A731F2"/>
    <w:rsid w:val="00A8613A"/>
    <w:rsid w:val="00A871BD"/>
    <w:rsid w:val="00A9678D"/>
    <w:rsid w:val="00AB6999"/>
    <w:rsid w:val="00AC016C"/>
    <w:rsid w:val="00AC32DE"/>
    <w:rsid w:val="00AD185D"/>
    <w:rsid w:val="00AD3435"/>
    <w:rsid w:val="00AD39D5"/>
    <w:rsid w:val="00AE1E13"/>
    <w:rsid w:val="00AE4383"/>
    <w:rsid w:val="00AF074B"/>
    <w:rsid w:val="00B0686B"/>
    <w:rsid w:val="00B06E86"/>
    <w:rsid w:val="00B135B5"/>
    <w:rsid w:val="00B355BF"/>
    <w:rsid w:val="00B50B06"/>
    <w:rsid w:val="00B65C92"/>
    <w:rsid w:val="00B8368D"/>
    <w:rsid w:val="00B83ABC"/>
    <w:rsid w:val="00BA02F4"/>
    <w:rsid w:val="00BA1FA2"/>
    <w:rsid w:val="00BB7F44"/>
    <w:rsid w:val="00BC22FC"/>
    <w:rsid w:val="00BC297B"/>
    <w:rsid w:val="00BC4C4B"/>
    <w:rsid w:val="00BD1569"/>
    <w:rsid w:val="00BF1F0B"/>
    <w:rsid w:val="00C049CB"/>
    <w:rsid w:val="00C101E7"/>
    <w:rsid w:val="00C1573F"/>
    <w:rsid w:val="00C16682"/>
    <w:rsid w:val="00C17609"/>
    <w:rsid w:val="00C359CB"/>
    <w:rsid w:val="00C82E51"/>
    <w:rsid w:val="00CA71E9"/>
    <w:rsid w:val="00CC196A"/>
    <w:rsid w:val="00CD61FA"/>
    <w:rsid w:val="00CE4DDF"/>
    <w:rsid w:val="00D13682"/>
    <w:rsid w:val="00D255AE"/>
    <w:rsid w:val="00D35238"/>
    <w:rsid w:val="00D42FE2"/>
    <w:rsid w:val="00D51828"/>
    <w:rsid w:val="00D56461"/>
    <w:rsid w:val="00D62947"/>
    <w:rsid w:val="00D73FB9"/>
    <w:rsid w:val="00D75082"/>
    <w:rsid w:val="00D813EB"/>
    <w:rsid w:val="00D84A8E"/>
    <w:rsid w:val="00D852B2"/>
    <w:rsid w:val="00D9054A"/>
    <w:rsid w:val="00D9071A"/>
    <w:rsid w:val="00D920E8"/>
    <w:rsid w:val="00DA7CF2"/>
    <w:rsid w:val="00DD1392"/>
    <w:rsid w:val="00DF4BBF"/>
    <w:rsid w:val="00E1743B"/>
    <w:rsid w:val="00E3306E"/>
    <w:rsid w:val="00E53BC4"/>
    <w:rsid w:val="00E60FB5"/>
    <w:rsid w:val="00E729EA"/>
    <w:rsid w:val="00E843F6"/>
    <w:rsid w:val="00E91D5F"/>
    <w:rsid w:val="00E96CD5"/>
    <w:rsid w:val="00EA7A53"/>
    <w:rsid w:val="00EB4CDE"/>
    <w:rsid w:val="00EC22E6"/>
    <w:rsid w:val="00EF0B41"/>
    <w:rsid w:val="00F0012A"/>
    <w:rsid w:val="00F006CE"/>
    <w:rsid w:val="00F075F4"/>
    <w:rsid w:val="00F5057A"/>
    <w:rsid w:val="00F50F98"/>
    <w:rsid w:val="00F6480A"/>
    <w:rsid w:val="00F67AB7"/>
    <w:rsid w:val="00F83ECE"/>
    <w:rsid w:val="00F84841"/>
    <w:rsid w:val="00F91A31"/>
    <w:rsid w:val="00FB50AD"/>
    <w:rsid w:val="00FB5338"/>
    <w:rsid w:val="00FC11B7"/>
    <w:rsid w:val="00FC58E4"/>
    <w:rsid w:val="00FD2D41"/>
    <w:rsid w:val="00FD2F56"/>
    <w:rsid w:val="00FD4F8E"/>
    <w:rsid w:val="00FF3132"/>
    <w:rsid w:val="00FF4EAA"/>
    <w:rsid w:val="00FF517E"/>
    <w:rsid w:val="00FF5A03"/>
    <w:rsid w:val="04D02411"/>
    <w:rsid w:val="0536186D"/>
    <w:rsid w:val="08BE6156"/>
    <w:rsid w:val="0AEC2BE9"/>
    <w:rsid w:val="0B87456A"/>
    <w:rsid w:val="0D86083D"/>
    <w:rsid w:val="0DB308C6"/>
    <w:rsid w:val="118635F8"/>
    <w:rsid w:val="13732A95"/>
    <w:rsid w:val="148B684B"/>
    <w:rsid w:val="169032BE"/>
    <w:rsid w:val="16A76EFD"/>
    <w:rsid w:val="18335211"/>
    <w:rsid w:val="19B71EEA"/>
    <w:rsid w:val="1AE22551"/>
    <w:rsid w:val="1B7662DA"/>
    <w:rsid w:val="1B7D1475"/>
    <w:rsid w:val="1C824661"/>
    <w:rsid w:val="20745B56"/>
    <w:rsid w:val="21190272"/>
    <w:rsid w:val="25DA095F"/>
    <w:rsid w:val="268B189A"/>
    <w:rsid w:val="27D45189"/>
    <w:rsid w:val="2A12664E"/>
    <w:rsid w:val="2E395FB1"/>
    <w:rsid w:val="2EB047CE"/>
    <w:rsid w:val="2F556018"/>
    <w:rsid w:val="2FCC5D79"/>
    <w:rsid w:val="30B113F8"/>
    <w:rsid w:val="31D33299"/>
    <w:rsid w:val="394C0A40"/>
    <w:rsid w:val="3B3A07AE"/>
    <w:rsid w:val="3D61620E"/>
    <w:rsid w:val="3D6F62B1"/>
    <w:rsid w:val="414C264B"/>
    <w:rsid w:val="4253245B"/>
    <w:rsid w:val="42C1642E"/>
    <w:rsid w:val="4305795F"/>
    <w:rsid w:val="4332768C"/>
    <w:rsid w:val="43845B71"/>
    <w:rsid w:val="466165A7"/>
    <w:rsid w:val="494746AC"/>
    <w:rsid w:val="4CEC1BC0"/>
    <w:rsid w:val="4EDE7772"/>
    <w:rsid w:val="519279EF"/>
    <w:rsid w:val="52673E0E"/>
    <w:rsid w:val="527836A5"/>
    <w:rsid w:val="54095C7D"/>
    <w:rsid w:val="56C4763C"/>
    <w:rsid w:val="57FA5B0F"/>
    <w:rsid w:val="58C52EA5"/>
    <w:rsid w:val="5A19673A"/>
    <w:rsid w:val="5B9D6037"/>
    <w:rsid w:val="5CBA2991"/>
    <w:rsid w:val="608C532F"/>
    <w:rsid w:val="64587083"/>
    <w:rsid w:val="660728AA"/>
    <w:rsid w:val="68D819F7"/>
    <w:rsid w:val="6A4B6EF0"/>
    <w:rsid w:val="6D87604B"/>
    <w:rsid w:val="6DC83794"/>
    <w:rsid w:val="72CD77A8"/>
    <w:rsid w:val="78B61425"/>
    <w:rsid w:val="79AE0EE8"/>
    <w:rsid w:val="7A1D3B4F"/>
    <w:rsid w:val="7C317B83"/>
    <w:rsid w:val="7C872C12"/>
    <w:rsid w:val="7E2C65C4"/>
    <w:rsid w:val="7F2255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jc w:val="left"/>
    </w:pPr>
    <w:rPr>
      <w:rFonts w:ascii="Times New Roman" w:hAnsi="Times New Roman"/>
      <w:kern w:val="0"/>
      <w:sz w:val="24"/>
    </w:rPr>
  </w:style>
  <w:style w:type="character" w:styleId="7">
    <w:name w:val="page number"/>
    <w:basedOn w:val="6"/>
    <w:unhideWhenUsed/>
    <w:uiPriority w:val="99"/>
  </w:style>
  <w:style w:type="character" w:customStyle="1" w:styleId="9">
    <w:name w:val="Header Char"/>
    <w:basedOn w:val="6"/>
    <w:link w:val="4"/>
    <w:qFormat/>
    <w:locked/>
    <w:uiPriority w:val="99"/>
    <w:rPr>
      <w:rFonts w:cs="Times New Roman"/>
      <w:sz w:val="18"/>
      <w:szCs w:val="18"/>
    </w:rPr>
  </w:style>
  <w:style w:type="character" w:customStyle="1" w:styleId="10">
    <w:name w:val="Footer Char"/>
    <w:basedOn w:val="6"/>
    <w:link w:val="3"/>
    <w:qFormat/>
    <w:locked/>
    <w:uiPriority w:val="99"/>
    <w:rPr>
      <w:rFonts w:cs="Times New Roman"/>
      <w:sz w:val="18"/>
      <w:szCs w:val="18"/>
    </w:rPr>
  </w:style>
  <w:style w:type="character" w:customStyle="1" w:styleId="11">
    <w:name w:val="Balloon Text Char"/>
    <w:basedOn w:val="6"/>
    <w:link w:val="2"/>
    <w:semiHidden/>
    <w:qFormat/>
    <w:locked/>
    <w:uiPriority w:val="99"/>
    <w:rPr>
      <w:rFonts w:cs="Times New Roman"/>
      <w:sz w:val="18"/>
      <w:szCs w:val="18"/>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3">
    <w:name w:val="_Style 3"/>
    <w:basedOn w:val="1"/>
    <w:qFormat/>
    <w:uiPriority w:val="34"/>
    <w:pPr>
      <w:ind w:firstLine="420" w:firstLineChars="200"/>
    </w:pPr>
    <w:rPr>
      <w:rFonts w:ascii="Calibri" w:hAnsi="Calibri" w:eastAsia="宋体" w:cs="Times New Roman"/>
      <w:szCs w:val="22"/>
    </w:rPr>
  </w:style>
  <w:style w:type="paragraph" w:customStyle="1" w:styleId="14">
    <w:name w:val="cjk"/>
    <w:basedOn w:val="1"/>
    <w:qFormat/>
    <w:uiPriority w:val="0"/>
    <w:pPr>
      <w:widowControl/>
      <w:spacing w:before="100" w:beforeAutospacing="1" w:after="142" w:line="276" w:lineRule="auto"/>
    </w:pPr>
    <w:rPr>
      <w:rFonts w:ascii="宋体" w:hAnsi="宋体" w:eastAsia="宋体" w:cs="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202</Words>
  <Characters>1156</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2019-09-18T07:41:00Z</dcterms:created>
  <dc:creator>周亮辉 10.104.93.85</dc:creator>
  <cp:lastModifiedBy>Administrator</cp:lastModifiedBy>
  <cp:lastPrinted>2019-09-18T08:08:00Z</cp:lastPrinted>
  <dcterms:modified xsi:type="dcterms:W3CDTF">2021-06-04T00:57:22Z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