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11E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长塘瑶族乡党委负责人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2024年度述法报告</w:t>
      </w:r>
    </w:p>
    <w:p w14:paraId="712B382F">
      <w:pPr>
        <w:widowControl/>
        <w:jc w:val="center"/>
        <w:rPr>
          <w:rFonts w:hint="eastAsia" w:ascii="楷体" w:hAnsi="楷体" w:eastAsia="楷体" w:cs="楷体"/>
          <w:bCs/>
          <w:kern w:val="0"/>
          <w:sz w:val="32"/>
          <w:szCs w:val="32"/>
        </w:rPr>
      </w:pPr>
    </w:p>
    <w:p w14:paraId="67A1BB9B">
      <w:pPr>
        <w:widowControl/>
        <w:jc w:val="center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长塘瑶族乡党委书记：谭辉辉</w:t>
      </w:r>
    </w:p>
    <w:p w14:paraId="1FAE4C43">
      <w:pPr>
        <w:widowControl/>
        <w:jc w:val="center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202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日</w:t>
      </w:r>
    </w:p>
    <w:p w14:paraId="01189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政府的坚强领导下，我始终牢记法治建设第一责任人职责，深入学习贯彻习近平法治思想，加强组织领导，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夯</w:t>
      </w:r>
      <w:r>
        <w:rPr>
          <w:rFonts w:hint="eastAsia" w:ascii="仿宋" w:hAnsi="仿宋" w:eastAsia="仿宋" w:cs="仿宋"/>
          <w:sz w:val="32"/>
          <w:szCs w:val="32"/>
        </w:rPr>
        <w:t>实工作责任，强化依法行政意识，提高依法行政能力和水平，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法治建设与经济社会发展深度融合，扎实推进法治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长塘</w:t>
      </w:r>
      <w:r>
        <w:rPr>
          <w:rFonts w:hint="eastAsia" w:ascii="仿宋" w:hAnsi="仿宋" w:eastAsia="仿宋" w:cs="仿宋"/>
          <w:sz w:val="32"/>
          <w:szCs w:val="32"/>
        </w:rPr>
        <w:t xml:space="preserve">建设。现将履职情况、存在问题及下一步工作打算报告如下：  </w:t>
      </w:r>
    </w:p>
    <w:p w14:paraId="34901B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4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履职情况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5A70E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强化法治学习，筑牢思想根基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2024年以来，长塘瑶族乡党委</w:t>
      </w:r>
      <w:r>
        <w:rPr>
          <w:rFonts w:hint="eastAsia" w:ascii="仿宋" w:hAnsi="仿宋" w:eastAsia="仿宋" w:cs="仿宋"/>
          <w:sz w:val="32"/>
          <w:szCs w:val="32"/>
        </w:rPr>
        <w:t>组织专题学习习近平法治思想、《民法典》等法律法规12次，开展法治专题讲座1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全面覆盖</w:t>
      </w:r>
      <w:r>
        <w:rPr>
          <w:rFonts w:hint="eastAsia" w:ascii="仿宋" w:hAnsi="仿宋" w:eastAsia="仿宋" w:cs="仿宋"/>
          <w:sz w:val="32"/>
          <w:szCs w:val="32"/>
        </w:rPr>
        <w:t>党员干部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通过“法律进乡村”活动发放宣传资料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6000余</w:t>
      </w:r>
      <w:r>
        <w:rPr>
          <w:rFonts w:hint="eastAsia" w:ascii="仿宋" w:hAnsi="仿宋" w:eastAsia="仿宋" w:cs="仿宋"/>
          <w:sz w:val="32"/>
          <w:szCs w:val="32"/>
        </w:rPr>
        <w:t>份，举办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</w:t>
      </w:r>
      <w:r>
        <w:rPr>
          <w:rFonts w:hint="eastAsia" w:ascii="仿宋" w:hAnsi="仿宋" w:eastAsia="仿宋" w:cs="仿宋"/>
          <w:sz w:val="32"/>
          <w:szCs w:val="32"/>
        </w:rPr>
        <w:t>普法讲座8场，覆盖群众2000余人次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</w:t>
      </w:r>
      <w:r>
        <w:rPr>
          <w:rFonts w:hint="eastAsia" w:ascii="仿宋" w:hAnsi="仿宋" w:eastAsia="仿宋" w:cs="仿宋"/>
          <w:sz w:val="32"/>
          <w:szCs w:val="32"/>
        </w:rPr>
        <w:t>宣传栏2个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逐步增强群众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 xml:space="preserve">法治意识。  </w:t>
      </w:r>
    </w:p>
    <w:p w14:paraId="10FE43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完善制度机制，规范权力运行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严格执行“四议两公开”制度，全年召开党委会研究法治建设议题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次，重大决策合法性审查率100%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行政执法“三项制度”（公示、全过程记录、重大执法决定法制审核），开展执法案卷评查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次，整改问题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项，杜绝执法不公、程序违法现象。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</w:t>
      </w:r>
      <w:r>
        <w:rPr>
          <w:rFonts w:hint="eastAsia" w:ascii="仿宋" w:hAnsi="仿宋" w:eastAsia="仿宋" w:cs="仿宋"/>
          <w:sz w:val="32"/>
          <w:szCs w:val="32"/>
        </w:rPr>
        <w:t>资金使用、项目审批等关键岗位开展专项督查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次，整改问题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个，筑牢廉洁防线。  </w:t>
      </w:r>
    </w:p>
    <w:p w14:paraId="676447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推进法治政府建设，规范行政行为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严格执行行政执法“三项制度”，全年开展行政执法案卷评查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次，整改问题23项。针对基层执法薄弱环节，创新开展行政执法能力提升专项行动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邀请县人大专家培训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组织全乡20名行政执法人员参加县人大法工委举办的专题培训，重点学习《行政处罚法》《行政强制法》等，通过案例教学提升执法规范性。联合县司法局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开展案卷检查，针对我乡案卷，县司法局专家逐本核实，逐页纠偏，条条法律进行政策解释，全面提升了我乡的执法队伍能力水平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 w14:paraId="049C26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加强督导培训，提升法治意识。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以清廉长塘为抓手，由我本人带头，严格执行党的政治纪律、组织纪律、工作纪律，坚持与依法治国、依法执政、依法行政共同推进，坚持原则、恪守规矩，树立正确的价值观、法治观、权力观，时刻警醒，坚决抵制腐朽堕落思想，当好班子和干部群众的表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加强教育培训。全乡各部门认真履行“谁执法谁普法”工作责任，共编印各类法治宣传资料2000余份，发放各类普法资料300份，张贴法治宣传标语40多条。</w:t>
      </w:r>
    </w:p>
    <w:p w14:paraId="53819B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强化调处机制，及时化解纠纷。</w:t>
      </w:r>
      <w:r>
        <w:rPr>
          <w:rFonts w:hint="eastAsia" w:ascii="仿宋" w:hAnsi="仿宋" w:eastAsia="仿宋" w:cs="仿宋"/>
          <w:sz w:val="32"/>
          <w:szCs w:val="32"/>
        </w:rPr>
        <w:t>我乡坚持“小事不出村，大事不出乡，基层问题在基层解决”的原则，建立健全社会矛盾纠纷排查机制、重大群体性、突发性社会事件预警应急机制和行政调解工作机制。今年来，结合我乡乡村振兴、干部进村入户工作，采取现场接访，入户走访集中座谈等形式，及时全面掌握社会矛盾纠纷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2024年来我乡没有一例到赴省进京的上访件，没有发生大规模群体性事件。</w:t>
      </w:r>
    </w:p>
    <w:p w14:paraId="4132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二、存在问题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700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（一）法治宣传教育实效性不足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普法活动多集中于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活动广场</w:t>
      </w:r>
      <w:r>
        <w:rPr>
          <w:rFonts w:hint="eastAsia" w:ascii="仿宋" w:hAnsi="仿宋" w:eastAsia="仿宋" w:cs="仿宋"/>
          <w:sz w:val="32"/>
          <w:szCs w:val="32"/>
        </w:rPr>
        <w:t>、村委，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因我乡青年人多外出务工，在乡老年人居多，而</w:t>
      </w:r>
      <w:r>
        <w:rPr>
          <w:rFonts w:hint="eastAsia" w:ascii="仿宋" w:hAnsi="仿宋" w:eastAsia="仿宋" w:cs="仿宋"/>
          <w:sz w:val="32"/>
          <w:szCs w:val="32"/>
        </w:rPr>
        <w:t>部分老年人、务工人员对法律知识掌握有限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 xml:space="preserve">新媒体运用不足，短视频、直播等创新形式尚未普及，法治宣传仍以传统讲座、宣传单为主，吸引力不强。  </w:t>
      </w:r>
    </w:p>
    <w:p w14:paraId="37795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（二）法治队伍建设存在短板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我乡目前无</w:t>
      </w:r>
      <w:r>
        <w:rPr>
          <w:rFonts w:hint="eastAsia" w:ascii="仿宋" w:hAnsi="仿宋" w:eastAsia="仿宋" w:cs="仿宋"/>
          <w:sz w:val="32"/>
          <w:szCs w:val="32"/>
        </w:rPr>
        <w:t>专职法治工作者，法律顾问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在面对群众的法律咨询方面有所不足，同时</w:t>
      </w:r>
      <w:r>
        <w:rPr>
          <w:rFonts w:hint="eastAsia" w:ascii="仿宋" w:hAnsi="仿宋" w:eastAsia="仿宋" w:cs="仿宋"/>
          <w:sz w:val="32"/>
          <w:szCs w:val="32"/>
        </w:rPr>
        <w:t>干部法治培训多以会议形式开展，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案例教学和实战演练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方面有所缺乏，在</w:t>
      </w:r>
      <w:r>
        <w:rPr>
          <w:rFonts w:hint="eastAsia" w:ascii="仿宋" w:hAnsi="仿宋" w:eastAsia="仿宋" w:cs="仿宋"/>
          <w:sz w:val="32"/>
          <w:szCs w:val="32"/>
        </w:rPr>
        <w:t>普法教育工作做的不够细，群众领会能力低，法制观念淡薄，真正知法、用法的群众不多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290E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（三）基层治理法治化水平待提升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矛盾纠纷化解仍依赖行政调解，司法确认、仲裁等法治化手段运用不足，</w:t>
      </w:r>
      <w:r>
        <w:rPr>
          <w:rFonts w:hint="eastAsia" w:ascii="仿宋" w:hAnsi="仿宋" w:eastAsia="仿宋" w:cs="仿宋"/>
          <w:sz w:val="32"/>
          <w:szCs w:val="32"/>
        </w:rPr>
        <w:t>调解员队伍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</w:t>
      </w:r>
      <w:r>
        <w:rPr>
          <w:rFonts w:hint="eastAsia" w:ascii="仿宋" w:hAnsi="仿宋" w:eastAsia="仿宋" w:cs="仿宋"/>
          <w:sz w:val="32"/>
          <w:szCs w:val="32"/>
        </w:rPr>
        <w:t>专业化程度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存在不足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致使</w:t>
      </w:r>
      <w:r>
        <w:rPr>
          <w:rFonts w:hint="eastAsia" w:ascii="仿宋" w:hAnsi="仿宋" w:eastAsia="仿宋" w:cs="仿宋"/>
          <w:sz w:val="32"/>
          <w:szCs w:val="32"/>
        </w:rPr>
        <w:t>一站式”调处中心运行效率不高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执法规范化有待加强部分执法人员存在重实体轻程序倾向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，在面对规范性执法的各项资料，存在畏难情绪，思维存在误区。</w:t>
      </w:r>
    </w:p>
    <w:p w14:paraId="769F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（四）法治文化建设滞后。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文化阵地利用率不高，法治文化广场、宣传栏等设施缺乏常态化维护和更新，未能充分发挥宣传教育作用。法治文化活动形式陈旧，缺乏创新性和感染力，群众参与意愿不高，法治精神尚未真正融入基层社会治理和文化建设中。</w:t>
      </w:r>
    </w:p>
    <w:p w14:paraId="376E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三、下一步工作打算  </w:t>
      </w:r>
    </w:p>
    <w:p w14:paraId="3646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下一步,我乡将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从以下三个方面</w:t>
      </w:r>
      <w:r>
        <w:rPr>
          <w:rFonts w:hint="eastAsia" w:ascii="仿宋" w:hAnsi="仿宋" w:eastAsia="仿宋" w:cs="仿宋"/>
          <w:sz w:val="32"/>
          <w:szCs w:val="32"/>
        </w:rPr>
        <w:t xml:space="preserve">进一步深入学习贯彻习近平总书记关于全面依法治国的重要论述，认真履行法治建设的工作，不断深化法治政府建设。 </w:t>
      </w:r>
    </w:p>
    <w:p w14:paraId="47F1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更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深化法治宣传教育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针对青少年、务工人员、老年人等群体，开展“法律进校园”“送法进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村组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进家</w:t>
      </w:r>
      <w:r>
        <w:rPr>
          <w:rFonts w:hint="eastAsia" w:ascii="仿宋" w:hAnsi="仿宋" w:eastAsia="仿宋" w:cs="仿宋"/>
          <w:sz w:val="32"/>
          <w:szCs w:val="32"/>
        </w:rPr>
        <w:t>普法”等专项活动，确保重点人群覆盖率达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 xml:space="preserve">%。  </w:t>
      </w:r>
    </w:p>
    <w:p w14:paraId="6428C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）更注重责任落实。</w:t>
      </w:r>
      <w:r>
        <w:rPr>
          <w:rFonts w:hint="eastAsia" w:ascii="仿宋" w:hAnsi="仿宋" w:eastAsia="仿宋" w:cs="仿宋"/>
          <w:sz w:val="32"/>
          <w:szCs w:val="32"/>
        </w:rPr>
        <w:t>继续落实“一把手”负总责，巩固和增强乡依法治乡领导组织建设，村委会行政“一把手”主抓。认真总结以往工作经验，制订切实可行的工作计划，压实压紧法治建设职责，对存在的治安难点问题要专题研究，拿出办法，发现一处，解决一个，不留隐患。</w:t>
      </w:r>
    </w:p>
    <w:p w14:paraId="3C59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）更注重宣传引导。</w:t>
      </w:r>
      <w:r>
        <w:rPr>
          <w:rFonts w:hint="eastAsia" w:ascii="仿宋" w:hAnsi="仿宋" w:eastAsia="仿宋" w:cs="仿宋"/>
          <w:sz w:val="32"/>
          <w:szCs w:val="32"/>
        </w:rPr>
        <w:t>进一步抓好项制度的贯彻落实，对法治宣传教育各项工作进行详细安排和部署，明确目标，细化责任，狠抓落实，深入开展法治宣传教育工作，完善领导干部学法制度和加强重点对象普法宣传教育，营造良好的法治环境。</w:t>
      </w:r>
    </w:p>
    <w:p w14:paraId="2FAE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长塘瑶族乡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</w:t>
      </w:r>
    </w:p>
    <w:p w14:paraId="2361D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长塘瑶族乡人民政府</w:t>
      </w:r>
    </w:p>
    <w:p w14:paraId="741F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2025年3月4日</w:t>
      </w:r>
    </w:p>
    <w:p w14:paraId="6924781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D2D23"/>
    <w:multiLevelType w:val="singleLevel"/>
    <w:tmpl w:val="928D2D23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 w:ascii="黑体" w:hAnsi="黑体" w:eastAsia="黑体" w:cs="黑体"/>
        <w:b/>
        <w:bCs/>
      </w:rPr>
    </w:lvl>
  </w:abstractNum>
  <w:abstractNum w:abstractNumId="1">
    <w:nsid w:val="F3F424B7"/>
    <w:multiLevelType w:val="singleLevel"/>
    <w:tmpl w:val="F3F424B7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jk2NWM1YjdjYWQyN2ZmNTMzODJkZTkyZjQxOTQifQ=="/>
  </w:docVars>
  <w:rsids>
    <w:rsidRoot w:val="129A00D7"/>
    <w:rsid w:val="01FC49C3"/>
    <w:rsid w:val="09E518F1"/>
    <w:rsid w:val="0DC7755F"/>
    <w:rsid w:val="10466AA8"/>
    <w:rsid w:val="129A00D7"/>
    <w:rsid w:val="12C62AEB"/>
    <w:rsid w:val="1A1678A4"/>
    <w:rsid w:val="26FD1AB1"/>
    <w:rsid w:val="285E6FE6"/>
    <w:rsid w:val="305F5CC5"/>
    <w:rsid w:val="38D21255"/>
    <w:rsid w:val="4320516C"/>
    <w:rsid w:val="602F09E2"/>
    <w:rsid w:val="64F47DAF"/>
    <w:rsid w:val="714874B8"/>
    <w:rsid w:val="74CE1C79"/>
    <w:rsid w:val="74F46C48"/>
    <w:rsid w:val="76D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1990</Words>
  <Characters>2030</Characters>
  <Lines>0</Lines>
  <Paragraphs>0</Paragraphs>
  <TotalTime>2</TotalTime>
  <ScaleCrop>false</ScaleCrop>
  <LinksUpToDate>false</LinksUpToDate>
  <CharactersWithSpaces>2050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2025-03-04T03:24:00Z</dcterms:created>
  <dc:creator>Administrator</dc:creator>
  <cp:lastModifiedBy>Administrator</cp:lastModifiedBy>
  <cp:lastPrinted>2025-03-04T08:17:25Z</cp:lastPrinted>
  <dcterms:modified xsi:type="dcterms:W3CDTF">2025-03-04T08:19:41Z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A616A2E01F0A4E8D899C59D7E6E73FF1_13</vt:lpwstr>
  </property>
  <property fmtid="{D5CDD505-2E9C-101B-9397-08002B2CF9AE}" pid="4" name="KSOTemplateDocerSaveRecord">
    <vt:lpwstr>eyJoZGlkIjoiMWRiMjM2YzJhMTIwNjkzODRhNmQ3MTE1NGI1N2U1MDMifQ==</vt:lpwstr>
  </property>
</Properties>
</file>