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32"/>
          <w:szCs w:val="36"/>
        </w:rPr>
      </w:pPr>
      <w:r>
        <w:rPr>
          <w:rFonts w:hint="eastAsia" w:ascii="黑体" w:hAnsi="黑体" w:eastAsia="黑体"/>
          <w:b/>
          <w:bCs/>
          <w:sz w:val="32"/>
          <w:szCs w:val="36"/>
        </w:rPr>
        <w:t>洞口县高铁新城控制性详细规划和城市设计方案公示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szCs w:val="21"/>
        </w:rPr>
      </w:pPr>
      <w:r>
        <w:rPr>
          <w:rFonts w:hint="eastAsia" w:ascii="宋体" w:hAnsi="宋体" w:eastAsia="宋体"/>
          <w:szCs w:val="21"/>
        </w:rPr>
        <w:t>洞口县高铁新城控制性详细规划和城市设计由洞口县自然资源局组织，上海同济规划设计研究院有限公司编制，目前已形成规划方案。为让公众充分了解规划设计方案内容，广泛征求公众意见，现将方案公示如下：</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Chars="0"/>
        <w:textAlignment w:val="auto"/>
        <w:rPr>
          <w:rFonts w:ascii="宋体" w:hAnsi="宋体" w:eastAsia="宋体"/>
          <w:szCs w:val="21"/>
          <w:highlight w:val="none"/>
        </w:rPr>
      </w:pPr>
      <w:r>
        <w:rPr>
          <w:rFonts w:hint="eastAsia" w:ascii="宋体" w:hAnsi="宋体" w:eastAsia="宋体"/>
          <w:b/>
          <w:bCs/>
          <w:szCs w:val="21"/>
          <w:highlight w:val="none"/>
        </w:rPr>
        <w:t>公示日期</w:t>
      </w:r>
      <w:r>
        <w:rPr>
          <w:rFonts w:hint="eastAsia" w:ascii="宋体" w:hAnsi="宋体" w:eastAsia="宋体"/>
          <w:szCs w:val="21"/>
          <w:highlight w:val="none"/>
        </w:rPr>
        <w:t>：2</w:t>
      </w:r>
      <w:r>
        <w:rPr>
          <w:rFonts w:ascii="宋体" w:hAnsi="宋体" w:eastAsia="宋体"/>
          <w:szCs w:val="21"/>
          <w:highlight w:val="none"/>
        </w:rPr>
        <w:t>023</w:t>
      </w:r>
      <w:r>
        <w:rPr>
          <w:rFonts w:hint="eastAsia" w:ascii="宋体" w:hAnsi="宋体" w:eastAsia="宋体"/>
          <w:szCs w:val="21"/>
          <w:highlight w:val="none"/>
        </w:rPr>
        <w:t>年3月</w:t>
      </w:r>
      <w:r>
        <w:rPr>
          <w:rFonts w:hint="eastAsia" w:ascii="宋体" w:hAnsi="宋体" w:eastAsia="宋体"/>
          <w:szCs w:val="21"/>
          <w:highlight w:val="none"/>
          <w:lang w:val="en-US" w:eastAsia="zh-CN"/>
        </w:rPr>
        <w:t>22</w:t>
      </w:r>
      <w:r>
        <w:rPr>
          <w:rFonts w:hint="eastAsia" w:ascii="宋体" w:hAnsi="宋体" w:eastAsia="宋体"/>
          <w:szCs w:val="21"/>
          <w:highlight w:val="none"/>
        </w:rPr>
        <w:t>日至2</w:t>
      </w:r>
      <w:r>
        <w:rPr>
          <w:rFonts w:ascii="宋体" w:hAnsi="宋体" w:eastAsia="宋体"/>
          <w:szCs w:val="21"/>
          <w:highlight w:val="none"/>
        </w:rPr>
        <w:t>023</w:t>
      </w:r>
      <w:r>
        <w:rPr>
          <w:rFonts w:hint="eastAsia" w:ascii="宋体" w:hAnsi="宋体" w:eastAsia="宋体"/>
          <w:szCs w:val="21"/>
          <w:highlight w:val="none"/>
        </w:rPr>
        <w:t>年</w:t>
      </w:r>
      <w:r>
        <w:rPr>
          <w:rFonts w:hint="eastAsia" w:ascii="宋体" w:hAnsi="宋体" w:eastAsia="宋体"/>
          <w:szCs w:val="21"/>
          <w:highlight w:val="none"/>
          <w:lang w:val="en-US" w:eastAsia="zh-CN"/>
        </w:rPr>
        <w:t>4</w:t>
      </w:r>
      <w:r>
        <w:rPr>
          <w:rFonts w:hint="eastAsia" w:ascii="宋体" w:hAnsi="宋体" w:eastAsia="宋体"/>
          <w:szCs w:val="21"/>
          <w:highlight w:val="none"/>
        </w:rPr>
        <w:t>月</w:t>
      </w:r>
      <w:r>
        <w:rPr>
          <w:rFonts w:hint="eastAsia" w:ascii="宋体" w:hAnsi="宋体" w:eastAsia="宋体"/>
          <w:szCs w:val="21"/>
          <w:highlight w:val="none"/>
          <w:lang w:val="en-US" w:eastAsia="zh-CN"/>
        </w:rPr>
        <w:t>21</w:t>
      </w:r>
      <w:r>
        <w:rPr>
          <w:rFonts w:hint="eastAsia" w:ascii="宋体" w:hAnsi="宋体" w:eastAsia="宋体"/>
          <w:szCs w:val="21"/>
          <w:highlight w:val="none"/>
        </w:rPr>
        <w:t>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szCs w:val="21"/>
          <w:highlight w:val="none"/>
        </w:rPr>
      </w:pPr>
      <w:r>
        <w:rPr>
          <w:rFonts w:hint="eastAsia" w:ascii="宋体" w:hAnsi="宋体" w:eastAsia="宋体"/>
          <w:b/>
          <w:bCs/>
          <w:szCs w:val="21"/>
          <w:highlight w:val="none"/>
        </w:rPr>
        <w:t>公示方式</w:t>
      </w:r>
      <w:r>
        <w:rPr>
          <w:rFonts w:hint="eastAsia" w:ascii="宋体" w:hAnsi="宋体" w:eastAsia="宋体"/>
          <w:szCs w:val="21"/>
          <w:highlight w:val="none"/>
        </w:rPr>
        <w:t>：（1）网上公示：洞口县人民政府网站：http://www.dongkou.gov.cn/</w:t>
      </w:r>
    </w:p>
    <w:p>
      <w:pPr>
        <w:pStyle w:val="7"/>
        <w:keepNext w:val="0"/>
        <w:keepLines w:val="0"/>
        <w:pageBreakBefore w:val="0"/>
        <w:widowControl w:val="0"/>
        <w:numPr>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szCs w:val="21"/>
          <w:highlight w:val="none"/>
        </w:rPr>
      </w:pPr>
      <w:r>
        <w:rPr>
          <w:rFonts w:hint="eastAsia" w:ascii="宋体" w:hAnsi="宋体" w:eastAsia="宋体"/>
          <w:szCs w:val="21"/>
          <w:highlight w:val="none"/>
        </w:rPr>
        <w:t>洞口县自然资源局网站：http://www.dongkou.gov.cn/dkxzrzyj/index.shtml</w:t>
      </w:r>
    </w:p>
    <w:p>
      <w:pPr>
        <w:pStyle w:val="7"/>
        <w:keepNext w:val="0"/>
        <w:keepLines w:val="0"/>
        <w:pageBreakBefore w:val="0"/>
        <w:widowControl w:val="0"/>
        <w:numPr>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szCs w:val="21"/>
          <w:highlight w:val="none"/>
        </w:rPr>
      </w:pPr>
      <w:r>
        <w:rPr>
          <w:rFonts w:hint="eastAsia" w:ascii="宋体" w:hAnsi="宋体" w:eastAsia="宋体"/>
          <w:szCs w:val="21"/>
          <w:highlight w:val="none"/>
        </w:rPr>
        <w:t>微信公众号：洞口县自然资源局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63" w:leftChars="0" w:hanging="363" w:firstLineChars="0"/>
        <w:jc w:val="left"/>
        <w:textAlignment w:val="auto"/>
        <w:rPr>
          <w:rFonts w:hint="eastAsia" w:ascii="宋体" w:hAnsi="宋体" w:eastAsia="宋体"/>
          <w:szCs w:val="21"/>
        </w:rPr>
      </w:pPr>
      <w:r>
        <w:rPr>
          <w:rFonts w:hint="eastAsia" w:ascii="宋体" w:hAnsi="宋体" w:eastAsia="宋体"/>
          <w:b/>
          <w:bCs/>
          <w:szCs w:val="21"/>
        </w:rPr>
        <w:t>公众意见反馈方式：</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szCs w:val="21"/>
        </w:rPr>
      </w:pPr>
      <w:r>
        <w:rPr>
          <w:rFonts w:hint="eastAsia" w:ascii="宋体" w:hAnsi="宋体" w:eastAsia="宋体"/>
          <w:szCs w:val="21"/>
        </w:rPr>
        <w:t>电子邮箱：1543021107@qq.com（邮箱标题请注明“洞口县</w:t>
      </w:r>
      <w:r>
        <w:rPr>
          <w:rFonts w:hint="eastAsia" w:ascii="宋体" w:hAnsi="宋体" w:eastAsia="宋体"/>
          <w:szCs w:val="21"/>
          <w:lang w:eastAsia="zh-CN"/>
        </w:rPr>
        <w:t>高铁新城</w:t>
      </w:r>
      <w:r>
        <w:rPr>
          <w:rFonts w:hint="eastAsia" w:ascii="宋体" w:hAnsi="宋体" w:eastAsia="宋体"/>
          <w:szCs w:val="21"/>
        </w:rPr>
        <w:t>控制性详细规划和城市设计意见建议”字样）</w:t>
      </w:r>
    </w:p>
    <w:p>
      <w:pPr>
        <w:numPr>
          <w:numId w:val="0"/>
        </w:numPr>
        <w:spacing w:line="360" w:lineRule="auto"/>
        <w:ind w:firstLine="420" w:firstLineChars="200"/>
        <w:rPr>
          <w:rFonts w:hint="eastAsia" w:ascii="宋体" w:hAnsi="宋体" w:eastAsia="宋体"/>
          <w:szCs w:val="21"/>
        </w:rPr>
      </w:pPr>
      <w:r>
        <w:rPr>
          <w:rFonts w:hint="eastAsia" w:ascii="宋体" w:hAnsi="宋体" w:eastAsia="宋体"/>
          <w:szCs w:val="21"/>
        </w:rPr>
        <w:t>邮寄地址：湖南省邵阳市洞口县自然资源局2楼国土空间规划股</w:t>
      </w:r>
    </w:p>
    <w:p>
      <w:pPr>
        <w:numPr>
          <w:numId w:val="0"/>
        </w:numPr>
        <w:spacing w:line="360" w:lineRule="auto"/>
        <w:ind w:firstLine="420" w:firstLineChars="200"/>
        <w:rPr>
          <w:rFonts w:hint="eastAsia" w:ascii="宋体" w:hAnsi="宋体" w:eastAsia="宋体"/>
          <w:szCs w:val="21"/>
        </w:rPr>
      </w:pPr>
      <w:r>
        <w:rPr>
          <w:rFonts w:hint="eastAsia" w:ascii="宋体" w:hAnsi="宋体" w:eastAsia="宋体"/>
          <w:szCs w:val="21"/>
        </w:rPr>
        <w:t>热枕期待您积极参与，请提出宝贵意见建议。</w:t>
      </w:r>
    </w:p>
    <w:p>
      <w:pPr>
        <w:spacing w:line="360" w:lineRule="auto"/>
        <w:rPr>
          <w:rFonts w:ascii="宋体" w:hAnsi="宋体" w:eastAsia="宋体"/>
          <w:b/>
          <w:bCs/>
          <w:sz w:val="24"/>
          <w:szCs w:val="28"/>
        </w:rPr>
      </w:pPr>
      <w:r>
        <w:rPr>
          <w:rFonts w:hint="eastAsia" w:ascii="宋体" w:hAnsi="宋体" w:eastAsia="宋体"/>
          <w:b/>
          <w:bCs/>
          <w:sz w:val="24"/>
          <w:szCs w:val="28"/>
        </w:rPr>
        <w:t>一、规划背景</w:t>
      </w:r>
    </w:p>
    <w:p>
      <w:pPr>
        <w:spacing w:line="360" w:lineRule="auto"/>
        <w:ind w:firstLine="420" w:firstLineChars="200"/>
        <w:rPr>
          <w:rFonts w:ascii="宋体" w:hAnsi="宋体" w:eastAsia="宋体"/>
        </w:rPr>
      </w:pPr>
      <w:r>
        <w:rPr>
          <w:rFonts w:hint="eastAsia" w:ascii="宋体" w:hAnsi="宋体" w:eastAsia="宋体"/>
        </w:rPr>
        <w:t>高铁新城片区作为洞口县城的重要门户，未来将承担起中心城区人口疏散，均衡中心城区生产要素空间配置，牵引洞口北向跨越发展的重要职责。该片区不仅是县域经济的新增长点也是先进营城理念的展示地，也是洞口当下发展的补缺与提升。</w:t>
      </w:r>
    </w:p>
    <w:p>
      <w:pPr>
        <w:spacing w:line="360" w:lineRule="auto"/>
        <w:rPr>
          <w:rFonts w:ascii="宋体" w:hAnsi="宋体" w:eastAsia="宋体"/>
          <w:b/>
          <w:bCs/>
          <w:sz w:val="24"/>
          <w:szCs w:val="28"/>
        </w:rPr>
      </w:pPr>
      <w:r>
        <w:rPr>
          <w:rFonts w:hint="eastAsia" w:ascii="宋体" w:hAnsi="宋体" w:eastAsia="宋体"/>
          <w:b/>
          <w:bCs/>
          <w:sz w:val="24"/>
          <w:szCs w:val="28"/>
        </w:rPr>
        <w:t>二、规划范围</w:t>
      </w:r>
    </w:p>
    <w:p>
      <w:pPr>
        <w:spacing w:line="360" w:lineRule="auto"/>
        <w:ind w:firstLine="420" w:firstLineChars="200"/>
        <w:rPr>
          <w:rFonts w:ascii="宋体" w:hAnsi="宋体" w:eastAsia="宋体"/>
        </w:rPr>
      </w:pPr>
      <w:r>
        <w:rPr>
          <w:rFonts w:hint="eastAsia" w:ascii="宋体" w:hAnsi="宋体" w:eastAsia="宋体"/>
        </w:rPr>
        <w:t>本控规规划范围北至洞口火车站北侧，南侧至文详路，西北侧至蔡锷北路，西南侧至泰龙路、金坪路，东侧至东旭路，总面积约</w:t>
      </w:r>
      <w:r>
        <w:rPr>
          <w:rFonts w:ascii="宋体" w:hAnsi="宋体" w:eastAsia="宋体"/>
        </w:rPr>
        <w:t>518.31</w:t>
      </w:r>
      <w:r>
        <w:rPr>
          <w:rFonts w:hint="eastAsia" w:ascii="宋体" w:hAnsi="宋体" w:eastAsia="宋体"/>
        </w:rPr>
        <w:t>公顷。</w:t>
      </w:r>
    </w:p>
    <w:p>
      <w:pPr>
        <w:spacing w:line="360" w:lineRule="auto"/>
        <w:rPr>
          <w:rFonts w:ascii="宋体" w:hAnsi="宋体" w:eastAsia="宋体"/>
          <w:sz w:val="24"/>
          <w:szCs w:val="28"/>
        </w:rPr>
      </w:pPr>
      <w:r>
        <w:rPr>
          <w:rFonts w:ascii="宋体" w:hAnsi="宋体" w:eastAsia="宋体"/>
          <w:sz w:val="24"/>
          <w:szCs w:val="28"/>
        </w:rPr>
        <w:drawing>
          <wp:inline distT="0" distB="0" distL="0" distR="0">
            <wp:extent cx="5257165" cy="300926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rcRect l="15892" t="21656" r="10069" b="19860"/>
                    <a:stretch>
                      <a:fillRect/>
                    </a:stretch>
                  </pic:blipFill>
                  <pic:spPr>
                    <a:xfrm>
                      <a:off x="0" y="0"/>
                      <a:ext cx="5257165" cy="3009265"/>
                    </a:xfrm>
                    <a:prstGeom prst="rect">
                      <a:avLst/>
                    </a:prstGeom>
                    <a:ln>
                      <a:noFill/>
                    </a:ln>
                  </pic:spPr>
                </pic:pic>
              </a:graphicData>
            </a:graphic>
          </wp:inline>
        </w:drawing>
      </w:r>
    </w:p>
    <w:p>
      <w:pPr>
        <w:spacing w:line="360" w:lineRule="auto"/>
        <w:jc w:val="center"/>
        <w:rPr>
          <w:rFonts w:ascii="宋体" w:hAnsi="宋体" w:eastAsia="宋体"/>
          <w:b/>
          <w:bCs/>
          <w:sz w:val="18"/>
          <w:szCs w:val="20"/>
        </w:rPr>
      </w:pPr>
      <w:r>
        <w:rPr>
          <w:rFonts w:hint="eastAsia" w:ascii="宋体" w:hAnsi="宋体" w:eastAsia="宋体"/>
          <w:b/>
          <w:bCs/>
          <w:sz w:val="18"/>
          <w:szCs w:val="20"/>
        </w:rPr>
        <w:t>图1 规划范围示意图</w:t>
      </w:r>
    </w:p>
    <w:p>
      <w:pPr>
        <w:spacing w:line="360" w:lineRule="auto"/>
        <w:rPr>
          <w:rFonts w:ascii="宋体" w:hAnsi="宋体" w:eastAsia="宋体"/>
          <w:b/>
          <w:bCs/>
          <w:sz w:val="24"/>
          <w:szCs w:val="28"/>
        </w:rPr>
      </w:pPr>
      <w:r>
        <w:rPr>
          <w:rFonts w:hint="eastAsia" w:ascii="宋体" w:hAnsi="宋体" w:eastAsia="宋体"/>
          <w:b/>
          <w:bCs/>
          <w:sz w:val="24"/>
          <w:szCs w:val="28"/>
        </w:rPr>
        <w:t>三、发展目标</w:t>
      </w:r>
    </w:p>
    <w:p>
      <w:pPr>
        <w:spacing w:line="360" w:lineRule="auto"/>
        <w:ind w:firstLine="420" w:firstLineChars="200"/>
        <w:rPr>
          <w:rFonts w:ascii="宋体" w:hAnsi="宋体" w:eastAsia="宋体"/>
        </w:rPr>
      </w:pPr>
      <w:r>
        <w:rPr>
          <w:rFonts w:hint="eastAsia" w:ascii="宋体" w:hAnsi="宋体" w:eastAsia="宋体"/>
        </w:rPr>
        <w:t>以公园城市、人民城市、未来城市为导向，打造洞口县的“山水聚落韵、创享活力芯”。规划区打造引领型生活方式荟萃地、集优型生态要素融汇地、探索型创享城市策源地。</w:t>
      </w:r>
    </w:p>
    <w:p>
      <w:pPr>
        <w:spacing w:line="360" w:lineRule="auto"/>
        <w:rPr>
          <w:rFonts w:ascii="宋体" w:hAnsi="宋体" w:eastAsia="宋体"/>
          <w:b/>
          <w:bCs/>
          <w:sz w:val="24"/>
          <w:szCs w:val="28"/>
        </w:rPr>
      </w:pPr>
      <w:r>
        <w:rPr>
          <w:rFonts w:hint="eastAsia" w:ascii="宋体" w:hAnsi="宋体" w:eastAsia="宋体"/>
          <w:b/>
          <w:bCs/>
          <w:sz w:val="24"/>
          <w:szCs w:val="28"/>
        </w:rPr>
        <w:t>四、空间结构</w:t>
      </w:r>
    </w:p>
    <w:p>
      <w:pPr>
        <w:spacing w:line="360" w:lineRule="auto"/>
        <w:ind w:firstLine="420" w:firstLineChars="200"/>
        <w:rPr>
          <w:rFonts w:ascii="宋体" w:hAnsi="宋体" w:eastAsia="宋体"/>
        </w:rPr>
      </w:pPr>
      <w:r>
        <w:rPr>
          <w:rFonts w:hint="eastAsia" w:ascii="宋体" w:hAnsi="宋体" w:eastAsia="宋体"/>
        </w:rPr>
        <w:t>规划区内顺应地形打造具有特色的空间布局方式，以站前片区发展为契机，引导中心城区中心体系的重构</w:t>
      </w:r>
      <w:bookmarkStart w:id="0" w:name="_GoBack"/>
      <w:bookmarkEnd w:id="0"/>
      <w:r>
        <w:rPr>
          <w:rFonts w:hint="eastAsia" w:ascii="宋体" w:hAnsi="宋体" w:eastAsia="宋体"/>
        </w:rPr>
        <w:t>，牵引主城区向东发展，规划形成</w:t>
      </w:r>
      <w:r>
        <w:rPr>
          <w:rFonts w:hint="eastAsia" w:ascii="宋体" w:hAnsi="宋体" w:eastAsia="宋体"/>
          <w:b/>
          <w:bCs/>
        </w:rPr>
        <w:t>“</w:t>
      </w:r>
      <w:r>
        <w:rPr>
          <w:rFonts w:ascii="宋体" w:hAnsi="宋体" w:eastAsia="宋体"/>
          <w:b/>
          <w:bCs/>
        </w:rPr>
        <w:t>Y”型通廊、两核两轴多节点</w:t>
      </w:r>
      <w:r>
        <w:rPr>
          <w:rFonts w:ascii="宋体" w:hAnsi="宋体" w:eastAsia="宋体"/>
        </w:rPr>
        <w:t>的空间结构。</w:t>
      </w:r>
    </w:p>
    <w:p>
      <w:pPr>
        <w:spacing w:line="360" w:lineRule="auto"/>
        <w:ind w:firstLine="422" w:firstLineChars="200"/>
        <w:rPr>
          <w:rFonts w:ascii="宋体" w:hAnsi="宋体" w:eastAsia="宋体"/>
        </w:rPr>
      </w:pPr>
      <w:r>
        <w:rPr>
          <w:rFonts w:hint="eastAsia" w:ascii="宋体" w:hAnsi="宋体" w:eastAsia="宋体"/>
          <w:b/>
          <w:bCs/>
        </w:rPr>
        <w:t>“</w:t>
      </w:r>
      <w:r>
        <w:rPr>
          <w:rFonts w:ascii="宋体" w:hAnsi="宋体" w:eastAsia="宋体"/>
          <w:b/>
          <w:bCs/>
        </w:rPr>
        <w:t>Y”型多义通廊</w:t>
      </w:r>
      <w:r>
        <w:rPr>
          <w:rFonts w:ascii="宋体" w:hAnsi="宋体" w:eastAsia="宋体"/>
        </w:rPr>
        <w:t>：结合现状山水态势，构建“Y”型山水通道结构，延续山水脉络，</w:t>
      </w:r>
      <w:r>
        <w:rPr>
          <w:rFonts w:hint="eastAsia" w:ascii="宋体" w:hAnsi="宋体" w:eastAsia="宋体"/>
        </w:rPr>
        <w:t>塑造高铁新城独特的地形特色。通廊连接重要片区、功能核心、节点与功能廊带，是高铁新城重要的公共通廊。</w:t>
      </w:r>
    </w:p>
    <w:p>
      <w:pPr>
        <w:spacing w:line="360" w:lineRule="auto"/>
        <w:ind w:firstLine="422" w:firstLineChars="200"/>
        <w:rPr>
          <w:rFonts w:ascii="宋体" w:hAnsi="宋体" w:eastAsia="宋体"/>
        </w:rPr>
      </w:pPr>
      <w:r>
        <w:rPr>
          <w:rFonts w:hint="eastAsia" w:ascii="宋体" w:hAnsi="宋体" w:eastAsia="宋体"/>
          <w:b/>
          <w:bCs/>
        </w:rPr>
        <w:t>两轴：</w:t>
      </w:r>
      <w:r>
        <w:rPr>
          <w:rFonts w:hint="eastAsia" w:ascii="宋体" w:hAnsi="宋体" w:eastAsia="宋体"/>
        </w:rPr>
        <w:t>依托东西向洞口大道，组织联系主城区各个功能核心与高铁新城，形成平溪江北岸主要功能拓展轴线；依托开元大道，组织高铁新城主要功能，连接平溪江南北两岸，形成城区及高铁新城南北向功能拓展轴线。</w:t>
      </w:r>
    </w:p>
    <w:p>
      <w:pPr>
        <w:spacing w:line="360" w:lineRule="auto"/>
        <w:ind w:firstLine="422" w:firstLineChars="200"/>
        <w:rPr>
          <w:rFonts w:ascii="宋体" w:hAnsi="宋体" w:eastAsia="宋体"/>
        </w:rPr>
      </w:pPr>
      <w:r>
        <w:rPr>
          <w:rFonts w:hint="eastAsia" w:ascii="宋体" w:hAnsi="宋体" w:eastAsia="宋体"/>
          <w:b/>
          <w:bCs/>
        </w:rPr>
        <w:t>两核：</w:t>
      </w:r>
      <w:r>
        <w:rPr>
          <w:rFonts w:hint="eastAsia" w:ascii="宋体" w:hAnsi="宋体" w:eastAsia="宋体"/>
        </w:rPr>
        <w:t>高铁站南侧集聚发展高铁商务、商业金融、教育传媒、休闲生活等多项功能，构建站前多义功能核心；洞口大道与城东大道交叉口周围，组织城市级文化、体育、医疗健康功能，形成城市公共核心。</w:t>
      </w:r>
    </w:p>
    <w:p>
      <w:pPr>
        <w:spacing w:line="360" w:lineRule="auto"/>
        <w:ind w:firstLine="422" w:firstLineChars="200"/>
        <w:rPr>
          <w:rFonts w:ascii="宋体" w:hAnsi="宋体" w:eastAsia="宋体"/>
        </w:rPr>
      </w:pPr>
      <w:r>
        <w:rPr>
          <w:rFonts w:hint="eastAsia" w:ascii="宋体" w:hAnsi="宋体" w:eastAsia="宋体"/>
          <w:b/>
          <w:bCs/>
        </w:rPr>
        <w:t>多节点：</w:t>
      </w:r>
      <w:r>
        <w:rPr>
          <w:rFonts w:hint="eastAsia" w:ascii="宋体" w:hAnsi="宋体" w:eastAsia="宋体"/>
        </w:rPr>
        <w:t>依托平溪江北岸良好的自然环境，重点建设城东大道桥头区域；科学构建十五分钟社区生活圈，配置各类公共服务功能；形成高铁站前枢纽、医疗健康中心、社区服务中心、滨江旅游服务中心、非遗创意中心、网红街等城市公共生活与服务节点。</w:t>
      </w:r>
    </w:p>
    <w:p>
      <w:pPr>
        <w:spacing w:line="360" w:lineRule="auto"/>
        <w:rPr>
          <w:rFonts w:ascii="宋体" w:hAnsi="宋体" w:eastAsia="宋体"/>
          <w:sz w:val="24"/>
          <w:szCs w:val="28"/>
        </w:rPr>
      </w:pPr>
      <w:r>
        <w:rPr>
          <w:rFonts w:ascii="宋体" w:hAnsi="宋体" w:eastAsia="宋体"/>
          <w:sz w:val="24"/>
          <w:szCs w:val="28"/>
        </w:rPr>
        <w:drawing>
          <wp:inline distT="0" distB="0" distL="0" distR="0">
            <wp:extent cx="5274310" cy="71913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t="1147" b="2559"/>
                    <a:stretch>
                      <a:fillRect/>
                    </a:stretch>
                  </pic:blipFill>
                  <pic:spPr>
                    <a:xfrm>
                      <a:off x="0" y="0"/>
                      <a:ext cx="5274310" cy="7191375"/>
                    </a:xfrm>
                    <a:prstGeom prst="rect">
                      <a:avLst/>
                    </a:prstGeom>
                    <a:ln>
                      <a:noFill/>
                    </a:ln>
                  </pic:spPr>
                </pic:pic>
              </a:graphicData>
            </a:graphic>
          </wp:inline>
        </w:drawing>
      </w:r>
    </w:p>
    <w:p>
      <w:pPr>
        <w:spacing w:line="360" w:lineRule="auto"/>
        <w:jc w:val="center"/>
        <w:rPr>
          <w:rFonts w:ascii="宋体" w:hAnsi="宋体" w:eastAsia="宋体"/>
          <w:b/>
          <w:bCs/>
          <w:sz w:val="18"/>
          <w:szCs w:val="20"/>
        </w:rPr>
      </w:pPr>
      <w:r>
        <w:rPr>
          <w:rFonts w:hint="eastAsia" w:ascii="宋体" w:hAnsi="宋体" w:eastAsia="宋体"/>
          <w:b/>
          <w:bCs/>
          <w:sz w:val="18"/>
          <w:szCs w:val="20"/>
        </w:rPr>
        <w:t>图</w:t>
      </w:r>
      <w:r>
        <w:rPr>
          <w:rFonts w:ascii="宋体" w:hAnsi="宋体" w:eastAsia="宋体"/>
          <w:b/>
          <w:bCs/>
          <w:sz w:val="18"/>
          <w:szCs w:val="20"/>
        </w:rPr>
        <w:t xml:space="preserve">4 </w:t>
      </w:r>
      <w:r>
        <w:rPr>
          <w:rFonts w:hint="eastAsia" w:ascii="宋体" w:hAnsi="宋体" w:eastAsia="宋体"/>
          <w:b/>
          <w:bCs/>
          <w:sz w:val="18"/>
          <w:szCs w:val="20"/>
        </w:rPr>
        <w:t>规划结构分析图</w:t>
      </w:r>
    </w:p>
    <w:p>
      <w:pPr>
        <w:spacing w:line="360" w:lineRule="auto"/>
        <w:rPr>
          <w:rFonts w:ascii="宋体" w:hAnsi="宋体" w:eastAsia="宋体"/>
          <w:b/>
          <w:bCs/>
          <w:sz w:val="24"/>
          <w:szCs w:val="28"/>
        </w:rPr>
      </w:pPr>
      <w:r>
        <w:rPr>
          <w:rFonts w:hint="eastAsia" w:ascii="宋体" w:hAnsi="宋体" w:eastAsia="宋体"/>
          <w:b/>
          <w:bCs/>
          <w:sz w:val="24"/>
          <w:szCs w:val="28"/>
        </w:rPr>
        <w:t>五</w:t>
      </w:r>
      <w:r>
        <w:rPr>
          <w:rFonts w:ascii="宋体" w:hAnsi="宋体" w:eastAsia="宋体"/>
          <w:b/>
          <w:bCs/>
          <w:sz w:val="24"/>
          <w:szCs w:val="28"/>
        </w:rPr>
        <w:t>、土地利用规划</w:t>
      </w:r>
    </w:p>
    <w:p>
      <w:pPr>
        <w:spacing w:line="360" w:lineRule="auto"/>
        <w:ind w:firstLine="420" w:firstLineChars="200"/>
        <w:rPr>
          <w:rFonts w:ascii="宋体" w:hAnsi="宋体" w:eastAsia="宋体"/>
        </w:rPr>
      </w:pPr>
      <w:r>
        <w:rPr>
          <w:rFonts w:hint="eastAsia" w:ascii="宋体" w:hAnsi="宋体" w:eastAsia="宋体"/>
        </w:rPr>
        <w:t>规划区内城市建设用地共包含</w:t>
      </w:r>
      <w:r>
        <w:rPr>
          <w:rFonts w:ascii="宋体" w:hAnsi="宋体" w:eastAsia="宋体"/>
        </w:rPr>
        <w:t>7大类，包括居住用地、公共管理与公共服务用地、商业</w:t>
      </w:r>
      <w:r>
        <w:rPr>
          <w:rFonts w:hint="eastAsia" w:ascii="宋体" w:hAnsi="宋体" w:eastAsia="宋体"/>
        </w:rPr>
        <w:t>服务业用地、仓储用地、交通运输用地、公用设施用地、绿地与开敞空间用地</w:t>
      </w:r>
      <w:r>
        <w:rPr>
          <w:rFonts w:ascii="宋体" w:hAnsi="宋体" w:eastAsia="宋体"/>
        </w:rPr>
        <w:t>。</w:t>
      </w:r>
      <w:r>
        <w:rPr>
          <w:rFonts w:hint="eastAsia" w:ascii="宋体" w:hAnsi="宋体" w:eastAsia="宋体"/>
        </w:rPr>
        <w:t>规划遵循土地集约性、混合性和开放性原则，支持用地兼容开发，提高土地利用效率，提升城市活力。</w:t>
      </w:r>
    </w:p>
    <w:p>
      <w:pPr>
        <w:spacing w:line="360" w:lineRule="auto"/>
        <w:rPr>
          <w:rFonts w:ascii="宋体" w:hAnsi="宋体" w:eastAsia="宋体"/>
          <w:sz w:val="24"/>
          <w:szCs w:val="28"/>
        </w:rPr>
      </w:pPr>
      <w:r>
        <w:rPr>
          <w:rFonts w:ascii="宋体" w:hAnsi="宋体" w:eastAsia="宋体"/>
          <w:sz w:val="24"/>
          <w:szCs w:val="28"/>
        </w:rPr>
        <w:drawing>
          <wp:inline distT="0" distB="0" distL="0" distR="0">
            <wp:extent cx="5274310" cy="72104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t="893" b="2559"/>
                    <a:stretch>
                      <a:fillRect/>
                    </a:stretch>
                  </pic:blipFill>
                  <pic:spPr>
                    <a:xfrm>
                      <a:off x="0" y="0"/>
                      <a:ext cx="5274310" cy="7210425"/>
                    </a:xfrm>
                    <a:prstGeom prst="rect">
                      <a:avLst/>
                    </a:prstGeom>
                    <a:ln>
                      <a:noFill/>
                    </a:ln>
                  </pic:spPr>
                </pic:pic>
              </a:graphicData>
            </a:graphic>
          </wp:inline>
        </w:drawing>
      </w:r>
    </w:p>
    <w:p>
      <w:pPr>
        <w:spacing w:line="360" w:lineRule="auto"/>
        <w:jc w:val="center"/>
        <w:rPr>
          <w:rFonts w:ascii="宋体" w:hAnsi="宋体" w:eastAsia="宋体"/>
          <w:b/>
          <w:bCs/>
          <w:sz w:val="18"/>
          <w:szCs w:val="20"/>
        </w:rPr>
      </w:pPr>
      <w:r>
        <w:rPr>
          <w:rFonts w:hint="eastAsia" w:ascii="宋体" w:hAnsi="宋体" w:eastAsia="宋体"/>
          <w:b/>
          <w:bCs/>
          <w:sz w:val="18"/>
          <w:szCs w:val="20"/>
        </w:rPr>
        <w:t>图</w:t>
      </w:r>
      <w:r>
        <w:rPr>
          <w:rFonts w:ascii="宋体" w:hAnsi="宋体" w:eastAsia="宋体"/>
          <w:b/>
          <w:bCs/>
          <w:sz w:val="18"/>
          <w:szCs w:val="20"/>
        </w:rPr>
        <w:t xml:space="preserve">5 </w:t>
      </w:r>
      <w:r>
        <w:rPr>
          <w:rFonts w:hint="eastAsia" w:ascii="宋体" w:hAnsi="宋体" w:eastAsia="宋体"/>
          <w:b/>
          <w:bCs/>
          <w:sz w:val="18"/>
          <w:szCs w:val="20"/>
        </w:rPr>
        <w:t>土地利用规划图</w:t>
      </w:r>
    </w:p>
    <w:p>
      <w:pPr>
        <w:spacing w:line="360" w:lineRule="auto"/>
        <w:rPr>
          <w:rFonts w:ascii="宋体" w:hAnsi="宋体" w:eastAsia="宋体"/>
          <w:b/>
          <w:bCs/>
          <w:sz w:val="24"/>
          <w:szCs w:val="28"/>
        </w:rPr>
      </w:pPr>
      <w:r>
        <w:rPr>
          <w:rFonts w:hint="eastAsia" w:ascii="宋体" w:hAnsi="宋体" w:eastAsia="宋体"/>
          <w:b/>
          <w:bCs/>
          <w:sz w:val="24"/>
          <w:szCs w:val="28"/>
        </w:rPr>
        <w:t>六</w:t>
      </w:r>
      <w:r>
        <w:rPr>
          <w:rFonts w:ascii="宋体" w:hAnsi="宋体" w:eastAsia="宋体"/>
          <w:b/>
          <w:bCs/>
          <w:sz w:val="24"/>
          <w:szCs w:val="28"/>
        </w:rPr>
        <w:t>、</w:t>
      </w:r>
      <w:r>
        <w:rPr>
          <w:rFonts w:hint="eastAsia" w:ascii="宋体" w:hAnsi="宋体" w:eastAsia="宋体"/>
          <w:b/>
          <w:bCs/>
          <w:sz w:val="24"/>
          <w:szCs w:val="28"/>
        </w:rPr>
        <w:t>道路系统</w:t>
      </w:r>
      <w:r>
        <w:rPr>
          <w:rFonts w:ascii="宋体" w:hAnsi="宋体" w:eastAsia="宋体"/>
          <w:b/>
          <w:bCs/>
          <w:sz w:val="24"/>
          <w:szCs w:val="28"/>
        </w:rPr>
        <w:t>规划</w:t>
      </w:r>
    </w:p>
    <w:p>
      <w:pPr>
        <w:spacing w:line="360" w:lineRule="auto"/>
        <w:ind w:firstLine="420" w:firstLineChars="200"/>
        <w:jc w:val="left"/>
        <w:rPr>
          <w:rFonts w:ascii="宋体" w:hAnsi="宋体" w:eastAsia="宋体"/>
        </w:rPr>
      </w:pPr>
      <w:r>
        <w:rPr>
          <w:rFonts w:hint="eastAsia" w:ascii="宋体" w:hAnsi="宋体" w:eastAsia="宋体"/>
        </w:rPr>
        <w:t>规划区道路分为主干路、次干路和支路三级，交通网络总体采用棋盘式布置。道路与交通设施包括城市道路、交通枢纽交通场站和加油加气站。</w:t>
      </w:r>
    </w:p>
    <w:p>
      <w:pPr>
        <w:spacing w:line="360" w:lineRule="auto"/>
        <w:ind w:firstLine="420" w:firstLineChars="200"/>
        <w:jc w:val="left"/>
        <w:rPr>
          <w:rFonts w:ascii="宋体" w:hAnsi="宋体" w:eastAsia="宋体"/>
        </w:rPr>
      </w:pPr>
      <w:r>
        <w:rPr>
          <w:rFonts w:hint="eastAsia" w:ascii="宋体" w:hAnsi="宋体" w:eastAsia="宋体"/>
        </w:rPr>
        <w:t>规划形成形成“四横三纵”的主干道道路网络骨架，包括站前大道、惠民路、洞口大道、雪峰东路、东旭路、城东大道、金坪路，七条主干道共同构成规划区主要的对外交通道路。次干路连接主干路，并将主要功能片区有机串联，形成独立、流畅的内部交通线。支路构建高密度的支路网，功能混合、尺度宜人的街区，支撑地块开发，街区之间形成的多条连接路径，并作为开敞的景观通廊，提高规划区的可达性和场所感。</w:t>
      </w:r>
    </w:p>
    <w:p>
      <w:pPr>
        <w:spacing w:line="360" w:lineRule="auto"/>
        <w:ind w:firstLine="420" w:firstLineChars="200"/>
        <w:jc w:val="left"/>
        <w:rPr>
          <w:rFonts w:ascii="宋体" w:hAnsi="宋体" w:eastAsia="宋体"/>
        </w:rPr>
      </w:pPr>
      <w:r>
        <w:rPr>
          <w:rFonts w:hint="eastAsia" w:ascii="宋体" w:hAnsi="宋体" w:eastAsia="宋体"/>
        </w:rPr>
        <w:t>规划设置1处长途客运站，2处公交首末站设置，</w:t>
      </w:r>
      <w:r>
        <w:rPr>
          <w:rFonts w:ascii="宋体" w:hAnsi="宋体" w:eastAsia="宋体"/>
        </w:rPr>
        <w:t>2</w:t>
      </w:r>
      <w:r>
        <w:rPr>
          <w:rFonts w:hint="eastAsia" w:ascii="宋体" w:hAnsi="宋体" w:eastAsia="宋体"/>
        </w:rPr>
        <w:t>处加油站和6处社会停车场。</w:t>
      </w:r>
    </w:p>
    <w:p>
      <w:pPr>
        <w:spacing w:line="360" w:lineRule="auto"/>
        <w:jc w:val="center"/>
        <w:rPr>
          <w:rFonts w:ascii="宋体" w:hAnsi="宋体" w:eastAsia="宋体"/>
          <w:sz w:val="24"/>
          <w:szCs w:val="28"/>
        </w:rPr>
      </w:pPr>
      <w:r>
        <w:rPr>
          <w:rFonts w:hint="eastAsia" w:ascii="宋体" w:hAnsi="宋体" w:eastAsia="宋体"/>
          <w:sz w:val="24"/>
          <w:szCs w:val="28"/>
        </w:rPr>
        <w:drawing>
          <wp:inline distT="0" distB="0" distL="0" distR="0">
            <wp:extent cx="5114925" cy="69919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t="1020" b="2432"/>
                    <a:stretch>
                      <a:fillRect/>
                    </a:stretch>
                  </pic:blipFill>
                  <pic:spPr>
                    <a:xfrm>
                      <a:off x="0" y="0"/>
                      <a:ext cx="5116698" cy="6994955"/>
                    </a:xfrm>
                    <a:prstGeom prst="rect">
                      <a:avLst/>
                    </a:prstGeom>
                    <a:ln>
                      <a:noFill/>
                    </a:ln>
                  </pic:spPr>
                </pic:pic>
              </a:graphicData>
            </a:graphic>
          </wp:inline>
        </w:drawing>
      </w:r>
    </w:p>
    <w:p>
      <w:pPr>
        <w:spacing w:line="360" w:lineRule="auto"/>
        <w:jc w:val="center"/>
        <w:rPr>
          <w:rFonts w:hint="eastAsia" w:ascii="宋体" w:hAnsi="宋体" w:eastAsia="宋体"/>
          <w:b/>
          <w:bCs/>
          <w:sz w:val="18"/>
          <w:szCs w:val="20"/>
        </w:rPr>
      </w:pPr>
      <w:r>
        <w:rPr>
          <w:rFonts w:hint="eastAsia" w:ascii="宋体" w:hAnsi="宋体" w:eastAsia="宋体"/>
          <w:b/>
          <w:bCs/>
          <w:sz w:val="18"/>
          <w:szCs w:val="20"/>
        </w:rPr>
        <w:t>图6道路系统规划图</w:t>
      </w:r>
    </w:p>
    <w:p>
      <w:pPr>
        <w:spacing w:line="360" w:lineRule="auto"/>
        <w:rPr>
          <w:rFonts w:ascii="宋体" w:hAnsi="宋体" w:eastAsia="宋体"/>
          <w:sz w:val="24"/>
          <w:szCs w:val="28"/>
        </w:rPr>
      </w:pPr>
      <w:r>
        <w:rPr>
          <w:rFonts w:hint="eastAsia" w:ascii="宋体" w:hAnsi="宋体" w:eastAsia="宋体"/>
          <w:sz w:val="24"/>
          <w:szCs w:val="28"/>
        </w:rPr>
        <w:drawing>
          <wp:inline distT="0" distB="0" distL="0" distR="0">
            <wp:extent cx="5273675" cy="7231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t="954" b="2207"/>
                    <a:stretch>
                      <a:fillRect/>
                    </a:stretch>
                  </pic:blipFill>
                  <pic:spPr>
                    <a:xfrm>
                      <a:off x="0" y="0"/>
                      <a:ext cx="5274310" cy="7232071"/>
                    </a:xfrm>
                    <a:prstGeom prst="rect">
                      <a:avLst/>
                    </a:prstGeom>
                    <a:ln>
                      <a:noFill/>
                    </a:ln>
                  </pic:spPr>
                </pic:pic>
              </a:graphicData>
            </a:graphic>
          </wp:inline>
        </w:drawing>
      </w:r>
    </w:p>
    <w:p>
      <w:pPr>
        <w:spacing w:line="360" w:lineRule="auto"/>
        <w:jc w:val="center"/>
        <w:rPr>
          <w:rFonts w:hint="eastAsia" w:ascii="宋体" w:hAnsi="宋体" w:eastAsia="宋体"/>
          <w:b/>
          <w:bCs/>
          <w:sz w:val="18"/>
          <w:szCs w:val="20"/>
        </w:rPr>
      </w:pPr>
      <w:r>
        <w:rPr>
          <w:rFonts w:hint="eastAsia" w:ascii="宋体" w:hAnsi="宋体" w:eastAsia="宋体"/>
          <w:b/>
          <w:bCs/>
          <w:sz w:val="18"/>
          <w:szCs w:val="20"/>
        </w:rPr>
        <w:t>图7</w:t>
      </w:r>
      <w:r>
        <w:rPr>
          <w:rFonts w:ascii="宋体" w:hAnsi="宋体" w:eastAsia="宋体"/>
          <w:b/>
          <w:bCs/>
          <w:sz w:val="18"/>
          <w:szCs w:val="20"/>
        </w:rPr>
        <w:t xml:space="preserve"> </w:t>
      </w:r>
      <w:r>
        <w:rPr>
          <w:rFonts w:hint="eastAsia" w:ascii="宋体" w:hAnsi="宋体" w:eastAsia="宋体"/>
          <w:b/>
          <w:bCs/>
          <w:sz w:val="18"/>
          <w:szCs w:val="20"/>
        </w:rPr>
        <w:t>道路断面规划图</w:t>
      </w:r>
    </w:p>
    <w:p>
      <w:pPr>
        <w:spacing w:line="360" w:lineRule="auto"/>
        <w:rPr>
          <w:rFonts w:hint="eastAsia" w:ascii="宋体" w:hAnsi="宋体" w:eastAsia="宋体"/>
          <w:sz w:val="24"/>
          <w:szCs w:val="28"/>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765B8"/>
    <w:multiLevelType w:val="multilevel"/>
    <w:tmpl w:val="020765B8"/>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4MDI4ODY5MDdiMmQ1M2UyNzU5OTE0ZTJjZDc0MmUifQ=="/>
  </w:docVars>
  <w:rsids>
    <w:rsidRoot w:val="00BD358A"/>
    <w:rsid w:val="001E4B5E"/>
    <w:rsid w:val="001F550C"/>
    <w:rsid w:val="002F5684"/>
    <w:rsid w:val="00323B7E"/>
    <w:rsid w:val="003D3937"/>
    <w:rsid w:val="003F7E78"/>
    <w:rsid w:val="004D392B"/>
    <w:rsid w:val="004D701D"/>
    <w:rsid w:val="005629B4"/>
    <w:rsid w:val="005669A0"/>
    <w:rsid w:val="005C6E36"/>
    <w:rsid w:val="005D2B5B"/>
    <w:rsid w:val="005D6C6C"/>
    <w:rsid w:val="00614FBA"/>
    <w:rsid w:val="00653964"/>
    <w:rsid w:val="0067473D"/>
    <w:rsid w:val="00737A67"/>
    <w:rsid w:val="007535D8"/>
    <w:rsid w:val="00774757"/>
    <w:rsid w:val="007C635F"/>
    <w:rsid w:val="00800CA9"/>
    <w:rsid w:val="0082629D"/>
    <w:rsid w:val="00872951"/>
    <w:rsid w:val="00882D10"/>
    <w:rsid w:val="00896F11"/>
    <w:rsid w:val="008B7812"/>
    <w:rsid w:val="008D7060"/>
    <w:rsid w:val="00963F66"/>
    <w:rsid w:val="00AE180F"/>
    <w:rsid w:val="00AF5C68"/>
    <w:rsid w:val="00B31497"/>
    <w:rsid w:val="00B45D45"/>
    <w:rsid w:val="00B546D6"/>
    <w:rsid w:val="00B62014"/>
    <w:rsid w:val="00BA1F84"/>
    <w:rsid w:val="00BB7024"/>
    <w:rsid w:val="00BD358A"/>
    <w:rsid w:val="00BE01B6"/>
    <w:rsid w:val="00BE5854"/>
    <w:rsid w:val="00BF5357"/>
    <w:rsid w:val="00C050C3"/>
    <w:rsid w:val="00C4060F"/>
    <w:rsid w:val="00C80C5F"/>
    <w:rsid w:val="00C912EF"/>
    <w:rsid w:val="00CC3118"/>
    <w:rsid w:val="00CD505A"/>
    <w:rsid w:val="00D44025"/>
    <w:rsid w:val="00D53FF9"/>
    <w:rsid w:val="00E034E5"/>
    <w:rsid w:val="00E0646E"/>
    <w:rsid w:val="00E579F9"/>
    <w:rsid w:val="00E82D88"/>
    <w:rsid w:val="00E8583F"/>
    <w:rsid w:val="00E92309"/>
    <w:rsid w:val="00EA2728"/>
    <w:rsid w:val="00F168F4"/>
    <w:rsid w:val="00F73E5A"/>
    <w:rsid w:val="00FB4C06"/>
    <w:rsid w:val="00FC53B7"/>
    <w:rsid w:val="22DA5BBA"/>
    <w:rsid w:val="5101295E"/>
    <w:rsid w:val="5F3F6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Unresolved Mention"/>
    <w:basedOn w:val="5"/>
    <w:semiHidden/>
    <w:unhideWhenUsed/>
    <w:uiPriority w:val="99"/>
    <w:rPr>
      <w:color w:val="605E5C"/>
      <w:shd w:val="clear" w:color="auto" w:fill="E1DFDD"/>
    </w:rPr>
  </w:style>
  <w:style w:type="character" w:customStyle="1" w:styleId="9">
    <w:name w:val="页眉 字符"/>
    <w:basedOn w:val="5"/>
    <w:link w:val="3"/>
    <w:qFormat/>
    <w:uiPriority w:val="99"/>
    <w:rPr>
      <w:sz w:val="18"/>
      <w:szCs w:val="18"/>
    </w:rPr>
  </w:style>
  <w:style w:type="character" w:customStyle="1" w:styleId="10">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249</Words>
  <Characters>1421</Characters>
  <Lines>11</Lines>
  <Paragraphs>3</Paragraphs>
  <TotalTime>6</TotalTime>
  <ScaleCrop>false</ScaleCrop>
  <LinksUpToDate>false</LinksUpToDate>
  <CharactersWithSpaces>1667</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2023-03-10T07:43:00Z</dcterms:created>
  <dc:creator>Admin</dc:creator>
  <cp:lastModifiedBy>一叶扁舟</cp:lastModifiedBy>
  <dcterms:modified xsi:type="dcterms:W3CDTF">2023-03-22T01:40:06Z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CBBD09CEC2EB4DCABE06E14769C6820F</vt:lpwstr>
  </property>
</Properties>
</file>