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FF" w:rsidRDefault="005908FF" w:rsidP="005908FF">
      <w:pPr>
        <w:pStyle w:val="1"/>
        <w:snapToGrid w:val="0"/>
        <w:spacing w:beforeLines="50" w:afterLines="30" w:line="240" w:lineRule="auto"/>
        <w:rPr>
          <w:rFonts w:ascii="方正小标宋_GBK" w:eastAsia="方正小标宋_GBK" w:hAnsi="方正小标宋_GBK" w:cs="方正小标宋_GBK"/>
          <w:b w:val="0"/>
          <w:bCs w:val="0"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color w:val="000000"/>
          <w:sz w:val="40"/>
          <w:szCs w:val="40"/>
        </w:rPr>
        <w:t>群众信访举报转办和边督边改公开情况一览表</w:t>
      </w:r>
    </w:p>
    <w:p w:rsidR="005908FF" w:rsidRDefault="005908FF" w:rsidP="005908FF">
      <w:pPr>
        <w:jc w:val="right"/>
        <w:rPr>
          <w:rFonts w:ascii="仿宋_GB2312" w:hAnsi="仿宋_GB2312" w:cs="仿宋_GB2312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 xml:space="preserve"> （第</w:t>
      </w:r>
      <w:r>
        <w:rPr>
          <w:rFonts w:ascii="仿宋_GB2312" w:hAnsi="仿宋_GB2312" w:cs="仿宋_GB2312" w:hint="eastAsia"/>
          <w:color w:val="000000"/>
          <w:sz w:val="24"/>
          <w:szCs w:val="24"/>
          <w:u w:val="single"/>
        </w:rPr>
        <w:t xml:space="preserve"> </w:t>
      </w:r>
      <w:r>
        <w:rPr>
          <w:rFonts w:ascii="仿宋_GB2312" w:hAnsi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ascii="仿宋_GB2312" w:hAnsi="仿宋_GB2312" w:cs="仿宋_GB2312" w:hint="eastAsia"/>
          <w:color w:val="000000"/>
          <w:sz w:val="24"/>
          <w:szCs w:val="24"/>
          <w:u w:val="single"/>
        </w:rPr>
        <w:t xml:space="preserve"> </w:t>
      </w:r>
      <w:r>
        <w:rPr>
          <w:rFonts w:ascii="仿宋_GB2312" w:hAnsi="仿宋_GB2312" w:cs="仿宋_GB2312" w:hint="eastAsia"/>
          <w:color w:val="000000"/>
          <w:sz w:val="24"/>
          <w:szCs w:val="24"/>
        </w:rPr>
        <w:t>批    2020</w:t>
      </w:r>
      <w:r>
        <w:rPr>
          <w:rFonts w:ascii="仿宋_GB2312" w:hAnsi="仿宋_GB2312" w:cs="仿宋_GB2312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仿宋_GB2312" w:hAnsi="仿宋_GB2312" w:cs="仿宋_GB2312" w:hint="eastAsia"/>
          <w:color w:val="000000"/>
          <w:sz w:val="24"/>
          <w:szCs w:val="24"/>
        </w:rPr>
        <w:t>年</w:t>
      </w:r>
      <w:r>
        <w:rPr>
          <w:rFonts w:ascii="仿宋_GB2312" w:hAnsi="仿宋_GB2312" w:cs="仿宋_GB2312" w:hint="eastAsia"/>
          <w:color w:val="000000"/>
          <w:sz w:val="24"/>
          <w:szCs w:val="24"/>
          <w:u w:val="single"/>
        </w:rPr>
        <w:t xml:space="preserve"> 9 </w:t>
      </w:r>
      <w:r>
        <w:rPr>
          <w:rFonts w:ascii="仿宋_GB2312" w:hAnsi="仿宋_GB2312" w:cs="仿宋_GB2312" w:hint="eastAsia"/>
          <w:color w:val="000000"/>
          <w:sz w:val="24"/>
          <w:szCs w:val="24"/>
        </w:rPr>
        <w:t>月</w:t>
      </w:r>
      <w:r>
        <w:rPr>
          <w:rFonts w:ascii="仿宋_GB2312" w:hAnsi="仿宋_GB2312" w:cs="仿宋_GB2312" w:hint="eastAsia"/>
          <w:color w:val="000000"/>
          <w:sz w:val="24"/>
          <w:szCs w:val="24"/>
          <w:u w:val="single"/>
        </w:rPr>
        <w:t xml:space="preserve"> 2</w:t>
      </w:r>
      <w:r>
        <w:rPr>
          <w:rFonts w:ascii="仿宋_GB2312" w:hAnsi="仿宋_GB2312" w:cs="仿宋_GB2312"/>
          <w:color w:val="000000"/>
          <w:sz w:val="24"/>
          <w:szCs w:val="24"/>
          <w:u w:val="single"/>
        </w:rPr>
        <w:t>5</w:t>
      </w:r>
      <w:r>
        <w:rPr>
          <w:rFonts w:ascii="仿宋_GB2312" w:hAnsi="仿宋_GB2312" w:cs="仿宋_GB2312" w:hint="eastAsia"/>
          <w:color w:val="000000"/>
          <w:sz w:val="24"/>
          <w:szCs w:val="24"/>
          <w:u w:val="single"/>
        </w:rPr>
        <w:t xml:space="preserve"> </w:t>
      </w:r>
      <w:r>
        <w:rPr>
          <w:rFonts w:ascii="仿宋_GB2312" w:hAnsi="仿宋_GB2312" w:cs="仿宋_GB2312" w:hint="eastAsia"/>
          <w:color w:val="000000"/>
          <w:sz w:val="24"/>
          <w:szCs w:val="24"/>
        </w:rPr>
        <w:t>日）</w:t>
      </w:r>
    </w:p>
    <w:tbl>
      <w:tblPr>
        <w:tblW w:w="15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17"/>
        <w:gridCol w:w="2400"/>
        <w:gridCol w:w="683"/>
        <w:gridCol w:w="834"/>
        <w:gridCol w:w="3776"/>
        <w:gridCol w:w="824"/>
        <w:gridCol w:w="2245"/>
        <w:gridCol w:w="1130"/>
        <w:gridCol w:w="941"/>
        <w:gridCol w:w="1559"/>
      </w:tblGrid>
      <w:tr w:rsidR="005908FF" w:rsidTr="001211AE">
        <w:trPr>
          <w:trHeight w:val="924"/>
          <w:jc w:val="center"/>
        </w:trPr>
        <w:tc>
          <w:tcPr>
            <w:tcW w:w="426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17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受理编号</w:t>
            </w:r>
          </w:p>
        </w:tc>
        <w:tc>
          <w:tcPr>
            <w:tcW w:w="2400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交办问题基本情况</w:t>
            </w:r>
          </w:p>
        </w:tc>
        <w:tc>
          <w:tcPr>
            <w:tcW w:w="683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行政</w:t>
            </w: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br/>
              <w:t>区域</w:t>
            </w:r>
          </w:p>
        </w:tc>
        <w:tc>
          <w:tcPr>
            <w:tcW w:w="834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污染</w:t>
            </w: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br/>
              <w:t>类型</w:t>
            </w:r>
          </w:p>
        </w:tc>
        <w:tc>
          <w:tcPr>
            <w:tcW w:w="3776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调查核实情况</w:t>
            </w:r>
          </w:p>
        </w:tc>
        <w:tc>
          <w:tcPr>
            <w:tcW w:w="824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是否</w:t>
            </w: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br/>
              <w:t>属实</w:t>
            </w:r>
          </w:p>
        </w:tc>
        <w:tc>
          <w:tcPr>
            <w:tcW w:w="2245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处理和整改情况</w:t>
            </w:r>
          </w:p>
        </w:tc>
        <w:tc>
          <w:tcPr>
            <w:tcW w:w="1130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责任人被处理情况</w:t>
            </w:r>
          </w:p>
        </w:tc>
        <w:tc>
          <w:tcPr>
            <w:tcW w:w="941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559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经办人电话</w:t>
            </w:r>
          </w:p>
        </w:tc>
      </w:tr>
      <w:tr w:rsidR="005908FF" w:rsidTr="001211AE">
        <w:trPr>
          <w:trHeight w:val="4565"/>
          <w:jc w:val="center"/>
        </w:trPr>
        <w:tc>
          <w:tcPr>
            <w:tcW w:w="426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13-10</w:t>
            </w:r>
          </w:p>
        </w:tc>
        <w:tc>
          <w:tcPr>
            <w:tcW w:w="2400" w:type="dxa"/>
            <w:vAlign w:val="center"/>
          </w:tcPr>
          <w:p w:rsidR="005908FF" w:rsidRDefault="005908FF" w:rsidP="001211AE">
            <w:pPr>
              <w:widowControl/>
              <w:spacing w:line="240" w:lineRule="exact"/>
              <w:ind w:firstLineChars="200" w:firstLine="42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2F7AE9"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该企业未落实‘三防’措施，未要求防渗漏、防流失、防扬散。场内道路未硬化，部分物料砂石露天堆放于场内。未规范建设雨污分流设施，存在雨污混流情况。未规范建设生产车间及物料堆场，砂石物料露天堆放，砂石物料露天破碎</w:t>
            </w:r>
          </w:p>
        </w:tc>
        <w:tc>
          <w:tcPr>
            <w:tcW w:w="683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洞口县</w:t>
            </w:r>
          </w:p>
        </w:tc>
        <w:tc>
          <w:tcPr>
            <w:tcW w:w="834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3776" w:type="dxa"/>
            <w:vAlign w:val="center"/>
          </w:tcPr>
          <w:p w:rsidR="005908FF" w:rsidRDefault="005908FF" w:rsidP="001211AE">
            <w:pPr>
              <w:snapToGrid w:val="0"/>
              <w:ind w:firstLineChars="200" w:firstLine="420"/>
              <w:rPr>
                <w:rFonts w:ascii="仿宋" w:eastAsia="仿宋" w:hAnsi="仿宋" w:cs="仿宋"/>
                <w:sz w:val="21"/>
                <w:szCs w:val="21"/>
              </w:rPr>
            </w:pPr>
            <w:r w:rsidRPr="002F7AE9"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9月</w:t>
            </w:r>
            <w:r w:rsidRPr="002F7AE9">
              <w:rPr>
                <w:rFonts w:ascii="仿宋" w:eastAsia="仿宋" w:hAnsi="仿宋" w:cs="仿宋"/>
                <w:color w:val="000000"/>
                <w:sz w:val="21"/>
                <w:szCs w:val="21"/>
                <w:lang/>
              </w:rPr>
              <w:t>23</w:t>
            </w:r>
            <w:r w:rsidRPr="002F7AE9"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日，竹市镇工作人员与生环分局执法人员到现场核查发现，该企业仅办理了工商营业执照，国土用地、科工、环保、发改等手续均未办理，没有搭建生产厂棚，没有落实</w:t>
            </w:r>
            <w:r w:rsidRPr="002F7AE9">
              <w:rPr>
                <w:rFonts w:ascii="仿宋" w:eastAsia="仿宋" w:hAnsi="仿宋" w:cs="仿宋"/>
                <w:color w:val="000000"/>
                <w:sz w:val="21"/>
                <w:szCs w:val="21"/>
                <w:lang/>
              </w:rPr>
              <w:t>“</w:t>
            </w:r>
            <w:r w:rsidRPr="002F7AE9"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三防</w:t>
            </w:r>
            <w:r w:rsidRPr="002F7AE9">
              <w:rPr>
                <w:rFonts w:ascii="仿宋" w:eastAsia="仿宋" w:hAnsi="仿宋" w:cs="仿宋"/>
                <w:color w:val="000000"/>
                <w:sz w:val="21"/>
                <w:szCs w:val="21"/>
                <w:lang/>
              </w:rPr>
              <w:t>”</w:t>
            </w:r>
            <w:r w:rsidRPr="002F7AE9"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措施，原材料露天堆放，厂区内进出路口未硬化。</w:t>
            </w:r>
          </w:p>
        </w:tc>
        <w:tc>
          <w:tcPr>
            <w:tcW w:w="824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属实</w:t>
            </w:r>
          </w:p>
        </w:tc>
        <w:tc>
          <w:tcPr>
            <w:tcW w:w="2245" w:type="dxa"/>
            <w:vAlign w:val="center"/>
          </w:tcPr>
          <w:p w:rsidR="005908FF" w:rsidRPr="002F7AE9" w:rsidRDefault="005908FF" w:rsidP="001211AE">
            <w:pPr>
              <w:snapToGrid w:val="0"/>
              <w:ind w:firstLineChars="200" w:firstLine="420"/>
              <w:rPr>
                <w:rFonts w:ascii="仿宋" w:eastAsia="仿宋" w:hAnsi="仿宋" w:cs="仿宋"/>
                <w:sz w:val="21"/>
                <w:szCs w:val="21"/>
              </w:rPr>
            </w:pPr>
            <w:r w:rsidRPr="002F7AE9">
              <w:rPr>
                <w:rFonts w:ascii="仿宋" w:eastAsia="仿宋" w:hAnsi="仿宋" w:cs="仿宋" w:hint="eastAsia"/>
                <w:sz w:val="21"/>
                <w:szCs w:val="21"/>
              </w:rPr>
              <w:t>县委县政府高度重视，根据现场核查情况，安排竹市镇供电所对合团砂石厂进行了断电处理，要求竹市镇政府加大巡查力度，在手续未办理到位，整改不到位的情况下，不得恢复供电生产。</w:t>
            </w:r>
          </w:p>
          <w:p w:rsidR="005908FF" w:rsidRDefault="005908FF" w:rsidP="001211AE">
            <w:pPr>
              <w:snapToGrid w:val="0"/>
              <w:ind w:firstLineChars="200" w:firstLine="42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无</w:t>
            </w:r>
          </w:p>
        </w:tc>
        <w:tc>
          <w:tcPr>
            <w:tcW w:w="941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曾广磊</w:t>
            </w:r>
          </w:p>
        </w:tc>
        <w:tc>
          <w:tcPr>
            <w:tcW w:w="1559" w:type="dxa"/>
            <w:vAlign w:val="center"/>
          </w:tcPr>
          <w:p w:rsidR="005908FF" w:rsidRDefault="005908FF" w:rsidP="001211AE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18807394199</w:t>
            </w:r>
          </w:p>
        </w:tc>
      </w:tr>
    </w:tbl>
    <w:p w:rsidR="009E0CA7" w:rsidRDefault="009E0CA7"/>
    <w:sectPr w:rsidR="009E0CA7" w:rsidSect="005908F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8FF"/>
    <w:rsid w:val="005908FF"/>
    <w:rsid w:val="009E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08FF"/>
    <w:pPr>
      <w:widowControl w:val="0"/>
      <w:jc w:val="both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styleId="1">
    <w:name w:val="heading 1"/>
    <w:basedOn w:val="a"/>
    <w:next w:val="a"/>
    <w:link w:val="1Char"/>
    <w:qFormat/>
    <w:rsid w:val="005908FF"/>
    <w:pPr>
      <w:keepNext/>
      <w:keepLines/>
      <w:spacing w:line="600" w:lineRule="exact"/>
      <w:jc w:val="center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908FF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5908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234</Characters>
  <Application>Microsoft Office Word</Application>
  <DocSecurity>0</DocSecurity>
  <Lines>14</Lines>
  <Paragraphs>12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2020-09-25T15:35:00Z</dcterms:created>
  <dcterms:modified xsi:type="dcterms:W3CDTF">2020-09-25T15:35:00Z</dcterms:modified>
</cp:coreProperties>
</file>