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76" w:rsidRDefault="00A90476">
      <w:pPr>
        <w:spacing w:line="600" w:lineRule="exact"/>
        <w:rPr>
          <w:rFonts w:ascii="黑体" w:eastAsia="黑体" w:hAnsi="黑体" w:cs="黑体"/>
          <w:bCs/>
          <w:color w:val="000000"/>
          <w:szCs w:val="32"/>
        </w:rPr>
      </w:pPr>
      <w:r>
        <w:rPr>
          <w:rFonts w:ascii="黑体" w:eastAsia="黑体" w:hAnsi="黑体" w:cs="黑体" w:hint="eastAsia"/>
          <w:bCs/>
          <w:color w:val="000000"/>
          <w:szCs w:val="32"/>
        </w:rPr>
        <w:t>附件</w:t>
      </w:r>
      <w:r>
        <w:rPr>
          <w:rFonts w:ascii="黑体" w:eastAsia="黑体" w:hAnsi="黑体" w:cs="黑体"/>
          <w:bCs/>
          <w:color w:val="000000"/>
          <w:szCs w:val="32"/>
        </w:rPr>
        <w:t>3-1</w:t>
      </w:r>
    </w:p>
    <w:p w:rsidR="00A90476" w:rsidRDefault="00A90476" w:rsidP="000564B8">
      <w:pPr>
        <w:pStyle w:val="Heading1"/>
        <w:snapToGrid w:val="0"/>
        <w:spacing w:beforeLines="50" w:afterLines="30" w:line="240" w:lineRule="auto"/>
        <w:rPr>
          <w:rFonts w:ascii="方正小标宋_GBK" w:eastAsia="方正小标宋_GBK" w:hAnsi="方正小标宋_GBK" w:cs="方正小标宋_GBK"/>
          <w:b w:val="0"/>
          <w:bCs w:val="0"/>
          <w:color w:val="000000"/>
          <w:sz w:val="40"/>
          <w:szCs w:val="40"/>
        </w:rPr>
      </w:pPr>
      <w:r>
        <w:rPr>
          <w:rFonts w:ascii="方正小标宋_GBK" w:eastAsia="方正小标宋_GBK" w:hAnsi="方正小标宋_GBK" w:cs="方正小标宋_GBK" w:hint="eastAsia"/>
          <w:b w:val="0"/>
          <w:bCs w:val="0"/>
          <w:color w:val="000000"/>
          <w:sz w:val="40"/>
          <w:szCs w:val="40"/>
        </w:rPr>
        <w:t>群众信访举报转办和边督边改公开情况一览表</w:t>
      </w:r>
    </w:p>
    <w:p w:rsidR="00A90476" w:rsidRDefault="00A90476">
      <w:pPr>
        <w:jc w:val="right"/>
        <w:rPr>
          <w:rFonts w:ascii="仿宋_GB2312" w:cs="仿宋_GB2312"/>
          <w:color w:val="000000"/>
          <w:sz w:val="24"/>
          <w:szCs w:val="24"/>
        </w:rPr>
      </w:pPr>
      <w:r>
        <w:rPr>
          <w:rFonts w:ascii="仿宋_GB2312" w:hAnsi="仿宋_GB2312" w:cs="仿宋_GB2312"/>
          <w:color w:val="000000"/>
          <w:sz w:val="24"/>
          <w:szCs w:val="24"/>
        </w:rPr>
        <w:t xml:space="preserve"> </w:t>
      </w:r>
      <w:r>
        <w:rPr>
          <w:rFonts w:ascii="仿宋_GB2312" w:hAnsi="仿宋_GB2312" w:cs="仿宋_GB2312" w:hint="eastAsia"/>
          <w:color w:val="000000"/>
          <w:sz w:val="24"/>
          <w:szCs w:val="24"/>
        </w:rPr>
        <w:t>（第</w:t>
      </w:r>
      <w:r>
        <w:rPr>
          <w:rFonts w:ascii="仿宋_GB2312" w:hAnsi="仿宋_GB2312" w:cs="仿宋_GB2312"/>
          <w:color w:val="000000"/>
          <w:sz w:val="24"/>
          <w:szCs w:val="24"/>
          <w:u w:val="single"/>
        </w:rPr>
        <w:t xml:space="preserve"> 5 </w:t>
      </w:r>
      <w:r>
        <w:rPr>
          <w:rFonts w:ascii="仿宋_GB2312" w:hAnsi="仿宋_GB2312" w:cs="仿宋_GB2312" w:hint="eastAsia"/>
          <w:color w:val="000000"/>
          <w:sz w:val="24"/>
          <w:szCs w:val="24"/>
        </w:rPr>
        <w:t>批</w:t>
      </w:r>
      <w:r>
        <w:rPr>
          <w:rFonts w:ascii="仿宋_GB2312" w:hAnsi="仿宋_GB2312" w:cs="仿宋_GB2312"/>
          <w:color w:val="000000"/>
          <w:sz w:val="24"/>
          <w:szCs w:val="24"/>
        </w:rPr>
        <w:t xml:space="preserve">    </w:t>
      </w:r>
      <w:smartTag w:uri="urn:schemas-microsoft-com:office:smarttags" w:element="chsdate">
        <w:smartTagPr>
          <w:attr w:name="IsROCDate" w:val="False"/>
          <w:attr w:name="IsLunarDate" w:val="False"/>
          <w:attr w:name="Day" w:val="23"/>
          <w:attr w:name="Month" w:val="9"/>
          <w:attr w:name="Year" w:val="2020"/>
        </w:smartTagPr>
        <w:r>
          <w:rPr>
            <w:rFonts w:ascii="仿宋_GB2312" w:hAnsi="仿宋_GB2312" w:cs="仿宋_GB2312"/>
            <w:color w:val="000000"/>
            <w:sz w:val="24"/>
            <w:szCs w:val="24"/>
          </w:rPr>
          <w:t>2020</w:t>
        </w:r>
        <w:r>
          <w:rPr>
            <w:rFonts w:ascii="仿宋_GB2312" w:hAnsi="仿宋_GB2312" w:cs="仿宋_GB2312"/>
            <w:color w:val="000000"/>
            <w:sz w:val="24"/>
            <w:szCs w:val="24"/>
            <w:u w:val="single"/>
          </w:rPr>
          <w:t xml:space="preserve">  </w:t>
        </w:r>
        <w:r>
          <w:rPr>
            <w:rFonts w:ascii="仿宋_GB2312" w:hAnsi="仿宋_GB2312" w:cs="仿宋_GB2312" w:hint="eastAsia"/>
            <w:color w:val="000000"/>
            <w:sz w:val="24"/>
            <w:szCs w:val="24"/>
          </w:rPr>
          <w:t>年</w:t>
        </w:r>
        <w:r>
          <w:rPr>
            <w:rFonts w:ascii="仿宋_GB2312" w:hAnsi="仿宋_GB2312" w:cs="仿宋_GB2312"/>
            <w:color w:val="000000"/>
            <w:sz w:val="24"/>
            <w:szCs w:val="24"/>
            <w:u w:val="single"/>
          </w:rPr>
          <w:t xml:space="preserve"> 9 </w:t>
        </w:r>
      </w:smartTag>
      <w:r>
        <w:rPr>
          <w:rFonts w:ascii="仿宋_GB2312" w:hAnsi="仿宋_GB2312" w:cs="仿宋_GB2312" w:hint="eastAsia"/>
          <w:color w:val="000000"/>
          <w:sz w:val="24"/>
          <w:szCs w:val="24"/>
        </w:rPr>
        <w:t>月</w:t>
      </w:r>
      <w:r>
        <w:rPr>
          <w:rFonts w:ascii="仿宋_GB2312" w:hAnsi="仿宋_GB2312" w:cs="仿宋_GB2312"/>
          <w:color w:val="000000"/>
          <w:sz w:val="24"/>
          <w:szCs w:val="24"/>
          <w:u w:val="single"/>
        </w:rPr>
        <w:t xml:space="preserve"> 23 </w:t>
      </w:r>
      <w:r>
        <w:rPr>
          <w:rFonts w:ascii="仿宋_GB2312" w:hAnsi="仿宋_GB2312" w:cs="仿宋_GB2312" w:hint="eastAsia"/>
          <w:color w:val="000000"/>
          <w:sz w:val="24"/>
          <w:szCs w:val="24"/>
        </w:rPr>
        <w:t>日）</w:t>
      </w:r>
    </w:p>
    <w:tbl>
      <w:tblPr>
        <w:tblW w:w="15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817"/>
        <w:gridCol w:w="2400"/>
        <w:gridCol w:w="683"/>
        <w:gridCol w:w="834"/>
        <w:gridCol w:w="3776"/>
        <w:gridCol w:w="824"/>
        <w:gridCol w:w="2245"/>
        <w:gridCol w:w="1130"/>
        <w:gridCol w:w="941"/>
        <w:gridCol w:w="1559"/>
      </w:tblGrid>
      <w:tr w:rsidR="00A90476">
        <w:trPr>
          <w:trHeight w:val="924"/>
          <w:jc w:val="center"/>
        </w:trPr>
        <w:tc>
          <w:tcPr>
            <w:tcW w:w="426"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序号</w:t>
            </w:r>
          </w:p>
        </w:tc>
        <w:tc>
          <w:tcPr>
            <w:tcW w:w="817"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受理编号</w:t>
            </w:r>
          </w:p>
        </w:tc>
        <w:tc>
          <w:tcPr>
            <w:tcW w:w="2400"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交办问题基本情况</w:t>
            </w:r>
          </w:p>
        </w:tc>
        <w:tc>
          <w:tcPr>
            <w:tcW w:w="683"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行政</w:t>
            </w:r>
            <w:r>
              <w:rPr>
                <w:rFonts w:ascii="仿宋_GB2312" w:cs="仿宋_GB2312"/>
                <w:b/>
                <w:color w:val="000000"/>
                <w:sz w:val="24"/>
                <w:szCs w:val="24"/>
              </w:rPr>
              <w:br/>
            </w:r>
            <w:r>
              <w:rPr>
                <w:rFonts w:ascii="仿宋_GB2312" w:hAnsi="仿宋_GB2312" w:cs="仿宋_GB2312" w:hint="eastAsia"/>
                <w:b/>
                <w:color w:val="000000"/>
                <w:sz w:val="24"/>
                <w:szCs w:val="24"/>
              </w:rPr>
              <w:t>区域</w:t>
            </w:r>
          </w:p>
        </w:tc>
        <w:tc>
          <w:tcPr>
            <w:tcW w:w="834"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污染</w:t>
            </w:r>
            <w:r>
              <w:rPr>
                <w:rFonts w:ascii="仿宋_GB2312" w:cs="仿宋_GB2312"/>
                <w:b/>
                <w:color w:val="000000"/>
                <w:sz w:val="24"/>
                <w:szCs w:val="24"/>
              </w:rPr>
              <w:br/>
            </w:r>
            <w:r>
              <w:rPr>
                <w:rFonts w:ascii="仿宋_GB2312" w:hAnsi="仿宋_GB2312" w:cs="仿宋_GB2312" w:hint="eastAsia"/>
                <w:b/>
                <w:color w:val="000000"/>
                <w:sz w:val="24"/>
                <w:szCs w:val="24"/>
              </w:rPr>
              <w:t>类型</w:t>
            </w:r>
          </w:p>
        </w:tc>
        <w:tc>
          <w:tcPr>
            <w:tcW w:w="3776"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调查核实情况</w:t>
            </w:r>
          </w:p>
        </w:tc>
        <w:tc>
          <w:tcPr>
            <w:tcW w:w="824"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是否</w:t>
            </w:r>
            <w:r>
              <w:rPr>
                <w:rFonts w:ascii="仿宋_GB2312" w:cs="仿宋_GB2312"/>
                <w:b/>
                <w:color w:val="000000"/>
                <w:sz w:val="24"/>
                <w:szCs w:val="24"/>
              </w:rPr>
              <w:br/>
            </w:r>
            <w:r>
              <w:rPr>
                <w:rFonts w:ascii="仿宋_GB2312" w:hAnsi="仿宋_GB2312" w:cs="仿宋_GB2312" w:hint="eastAsia"/>
                <w:b/>
                <w:color w:val="000000"/>
                <w:sz w:val="24"/>
                <w:szCs w:val="24"/>
              </w:rPr>
              <w:t>属实</w:t>
            </w:r>
          </w:p>
        </w:tc>
        <w:tc>
          <w:tcPr>
            <w:tcW w:w="2245"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处理和整改情况</w:t>
            </w:r>
          </w:p>
        </w:tc>
        <w:tc>
          <w:tcPr>
            <w:tcW w:w="1130"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责任人被处理情况</w:t>
            </w:r>
          </w:p>
        </w:tc>
        <w:tc>
          <w:tcPr>
            <w:tcW w:w="941"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经办人</w:t>
            </w:r>
          </w:p>
        </w:tc>
        <w:tc>
          <w:tcPr>
            <w:tcW w:w="1559" w:type="dxa"/>
            <w:vAlign w:val="center"/>
          </w:tcPr>
          <w:p w:rsidR="00A90476" w:rsidRDefault="00A90476">
            <w:pPr>
              <w:snapToGrid w:val="0"/>
              <w:jc w:val="center"/>
              <w:rPr>
                <w:rFonts w:ascii="仿宋_GB2312" w:cs="仿宋_GB2312"/>
                <w:b/>
                <w:color w:val="000000"/>
                <w:sz w:val="24"/>
                <w:szCs w:val="24"/>
              </w:rPr>
            </w:pPr>
            <w:r>
              <w:rPr>
                <w:rFonts w:ascii="仿宋_GB2312" w:hAnsi="仿宋_GB2312" w:cs="仿宋_GB2312" w:hint="eastAsia"/>
                <w:b/>
                <w:color w:val="000000"/>
                <w:sz w:val="24"/>
                <w:szCs w:val="24"/>
              </w:rPr>
              <w:t>经办人电话</w:t>
            </w:r>
          </w:p>
        </w:tc>
      </w:tr>
      <w:tr w:rsidR="00A90476">
        <w:trPr>
          <w:trHeight w:val="4565"/>
          <w:jc w:val="center"/>
        </w:trPr>
        <w:tc>
          <w:tcPr>
            <w:tcW w:w="426" w:type="dxa"/>
            <w:vAlign w:val="center"/>
          </w:tcPr>
          <w:p w:rsidR="00A90476" w:rsidRDefault="00A90476">
            <w:pPr>
              <w:snapToGrid w:val="0"/>
              <w:jc w:val="center"/>
              <w:rPr>
                <w:rFonts w:ascii="仿宋_GB2312" w:cs="仿宋_GB2312"/>
                <w:color w:val="000000"/>
                <w:sz w:val="24"/>
                <w:szCs w:val="24"/>
              </w:rPr>
            </w:pPr>
            <w:r>
              <w:rPr>
                <w:rFonts w:ascii="仿宋_GB2312" w:hAnsi="仿宋_GB2312" w:cs="仿宋_GB2312"/>
                <w:color w:val="000000"/>
                <w:sz w:val="24"/>
                <w:szCs w:val="24"/>
              </w:rPr>
              <w:t>1</w:t>
            </w:r>
          </w:p>
        </w:tc>
        <w:tc>
          <w:tcPr>
            <w:tcW w:w="817" w:type="dxa"/>
            <w:vAlign w:val="center"/>
          </w:tcPr>
          <w:p w:rsidR="00A90476" w:rsidRDefault="00A90476">
            <w:pPr>
              <w:snapToGrid w:val="0"/>
              <w:jc w:val="center"/>
              <w:rPr>
                <w:rFonts w:ascii="仿宋_GB2312" w:cs="仿宋_GB2312"/>
                <w:color w:val="000000"/>
                <w:sz w:val="24"/>
                <w:szCs w:val="24"/>
              </w:rPr>
            </w:pPr>
            <w:r>
              <w:rPr>
                <w:rFonts w:ascii="仿宋" w:eastAsia="仿宋" w:hAnsi="仿宋" w:cs="仿宋"/>
                <w:sz w:val="21"/>
                <w:szCs w:val="21"/>
              </w:rPr>
              <w:t>D1SY202009200023</w:t>
            </w:r>
          </w:p>
        </w:tc>
        <w:tc>
          <w:tcPr>
            <w:tcW w:w="2400" w:type="dxa"/>
            <w:vAlign w:val="center"/>
          </w:tcPr>
          <w:p w:rsidR="00A90476" w:rsidRDefault="00A90476">
            <w:pPr>
              <w:widowControl/>
              <w:spacing w:line="240" w:lineRule="exact"/>
              <w:ind w:firstLineChars="200" w:firstLine="420"/>
              <w:textAlignment w:val="center"/>
              <w:rPr>
                <w:rFonts w:ascii="仿宋_GB2312" w:cs="仿宋_GB2312"/>
                <w:color w:val="000000"/>
                <w:sz w:val="24"/>
                <w:szCs w:val="24"/>
              </w:rPr>
            </w:pPr>
            <w:r>
              <w:rPr>
                <w:rFonts w:ascii="仿宋" w:eastAsia="仿宋" w:hAnsi="仿宋" w:cs="仿宋" w:hint="eastAsia"/>
                <w:color w:val="000000"/>
                <w:sz w:val="21"/>
                <w:szCs w:val="21"/>
                <w:lang/>
              </w:rPr>
              <w:t>洞口县竹市镇香樟村仓宝元组村民投诉竹市镇曲塘村生活垃圾堆放点距离投诉人住址约</w:t>
            </w:r>
            <w:r>
              <w:rPr>
                <w:rFonts w:ascii="仿宋" w:eastAsia="仿宋" w:hAnsi="仿宋" w:cs="仿宋"/>
                <w:color w:val="000000"/>
                <w:sz w:val="21"/>
                <w:szCs w:val="21"/>
                <w:lang/>
              </w:rPr>
              <w:t>200</w:t>
            </w:r>
            <w:r>
              <w:rPr>
                <w:rFonts w:ascii="仿宋" w:eastAsia="仿宋" w:hAnsi="仿宋" w:cs="仿宋" w:hint="eastAsia"/>
                <w:color w:val="000000"/>
                <w:sz w:val="21"/>
                <w:szCs w:val="21"/>
                <w:lang/>
              </w:rPr>
              <w:t>米左右。投诉者说前几天竹市镇领导根据督察组要求来处理此事，但没有结果。今天又有人堆放垃圾，请督查组下来处理，香樟村的垃圾都是焚烧处理的。</w:t>
            </w:r>
          </w:p>
        </w:tc>
        <w:tc>
          <w:tcPr>
            <w:tcW w:w="683" w:type="dxa"/>
            <w:vAlign w:val="center"/>
          </w:tcPr>
          <w:p w:rsidR="00A90476" w:rsidRDefault="00A90476">
            <w:pPr>
              <w:snapToGrid w:val="0"/>
              <w:jc w:val="center"/>
              <w:rPr>
                <w:rFonts w:ascii="仿宋_GB2312" w:cs="仿宋_GB2312"/>
                <w:color w:val="000000"/>
                <w:sz w:val="24"/>
                <w:szCs w:val="24"/>
              </w:rPr>
            </w:pPr>
            <w:r>
              <w:rPr>
                <w:rFonts w:ascii="仿宋" w:eastAsia="仿宋" w:hAnsi="仿宋" w:cs="仿宋" w:hint="eastAsia"/>
                <w:sz w:val="21"/>
                <w:szCs w:val="21"/>
              </w:rPr>
              <w:t>洞口县</w:t>
            </w:r>
          </w:p>
        </w:tc>
        <w:tc>
          <w:tcPr>
            <w:tcW w:w="834" w:type="dxa"/>
            <w:vAlign w:val="center"/>
          </w:tcPr>
          <w:p w:rsidR="00A90476" w:rsidRDefault="00A90476">
            <w:pPr>
              <w:snapToGrid w:val="0"/>
              <w:jc w:val="center"/>
              <w:rPr>
                <w:rFonts w:ascii="仿宋_GB2312" w:cs="仿宋_GB2312"/>
                <w:color w:val="000000"/>
                <w:sz w:val="24"/>
                <w:szCs w:val="24"/>
              </w:rPr>
            </w:pPr>
            <w:r>
              <w:rPr>
                <w:rFonts w:ascii="仿宋" w:eastAsia="仿宋" w:hAnsi="仿宋" w:cs="仿宋" w:hint="eastAsia"/>
                <w:sz w:val="21"/>
                <w:szCs w:val="21"/>
              </w:rPr>
              <w:t>土壤</w:t>
            </w:r>
          </w:p>
        </w:tc>
        <w:tc>
          <w:tcPr>
            <w:tcW w:w="3776" w:type="dxa"/>
            <w:vAlign w:val="center"/>
          </w:tcPr>
          <w:p w:rsidR="00A90476" w:rsidRDefault="00A90476">
            <w:pPr>
              <w:snapToGrid w:val="0"/>
              <w:ind w:firstLineChars="200" w:firstLine="420"/>
              <w:rPr>
                <w:rFonts w:ascii="仿宋_GB2312" w:cs="仿宋_GB2312"/>
                <w:color w:val="000000"/>
                <w:sz w:val="24"/>
                <w:szCs w:val="24"/>
              </w:rPr>
            </w:pPr>
            <w:r>
              <w:rPr>
                <w:rFonts w:ascii="仿宋" w:eastAsia="仿宋" w:hAnsi="仿宋" w:cs="仿宋" w:hint="eastAsia"/>
                <w:sz w:val="21"/>
                <w:szCs w:val="21"/>
              </w:rPr>
              <w:t>该处垃圾堆放比较散乱，也未平整覆盖，产生异味，垃圾堆放地距离周边最近住户大约</w:t>
            </w:r>
            <w:r>
              <w:rPr>
                <w:rFonts w:ascii="仿宋" w:eastAsia="仿宋" w:hAnsi="仿宋" w:cs="仿宋"/>
                <w:sz w:val="21"/>
                <w:szCs w:val="21"/>
              </w:rPr>
              <w:t>200</w:t>
            </w:r>
            <w:r>
              <w:rPr>
                <w:rFonts w:ascii="仿宋" w:eastAsia="仿宋" w:hAnsi="仿宋" w:cs="仿宋" w:hint="eastAsia"/>
                <w:sz w:val="21"/>
                <w:szCs w:val="21"/>
              </w:rPr>
              <w:t>米，情况属实。反映“投诉者说前几天竹市镇领导根据督察组要求来处理此事，但没有结果”，情况不属实。我县接到省第六生态环境保护督察组转办的第</w:t>
            </w:r>
            <w:r>
              <w:rPr>
                <w:rFonts w:ascii="仿宋" w:eastAsia="仿宋" w:hAnsi="仿宋" w:cs="仿宋"/>
                <w:sz w:val="21"/>
                <w:szCs w:val="21"/>
              </w:rPr>
              <w:t>2</w:t>
            </w:r>
            <w:r>
              <w:rPr>
                <w:rFonts w:ascii="仿宋" w:eastAsia="仿宋" w:hAnsi="仿宋" w:cs="仿宋" w:hint="eastAsia"/>
                <w:sz w:val="21"/>
                <w:szCs w:val="21"/>
              </w:rPr>
              <w:t>批</w:t>
            </w:r>
            <w:r>
              <w:rPr>
                <w:rFonts w:ascii="仿宋" w:eastAsia="仿宋" w:hAnsi="仿宋" w:cs="仿宋"/>
                <w:sz w:val="21"/>
                <w:szCs w:val="21"/>
              </w:rPr>
              <w:t>D1SY202009170019</w:t>
            </w:r>
            <w:r>
              <w:rPr>
                <w:rFonts w:ascii="仿宋" w:eastAsia="仿宋" w:hAnsi="仿宋" w:cs="仿宋" w:hint="eastAsia"/>
                <w:sz w:val="21"/>
                <w:szCs w:val="21"/>
              </w:rPr>
              <w:t>号环境举报问题后，立即责令竹市镇派员于</w:t>
            </w:r>
            <w:r>
              <w:rPr>
                <w:rFonts w:ascii="仿宋" w:eastAsia="仿宋" w:hAnsi="仿宋" w:cs="仿宋"/>
                <w:sz w:val="21"/>
                <w:szCs w:val="21"/>
              </w:rPr>
              <w:t>9</w:t>
            </w:r>
            <w:r>
              <w:rPr>
                <w:rFonts w:ascii="仿宋" w:eastAsia="仿宋" w:hAnsi="仿宋" w:cs="仿宋" w:hint="eastAsia"/>
                <w:sz w:val="21"/>
                <w:szCs w:val="21"/>
              </w:rPr>
              <w:t>月</w:t>
            </w:r>
            <w:r>
              <w:rPr>
                <w:rFonts w:ascii="仿宋" w:eastAsia="仿宋" w:hAnsi="仿宋" w:cs="仿宋"/>
                <w:sz w:val="21"/>
                <w:szCs w:val="21"/>
              </w:rPr>
              <w:t>20</w:t>
            </w:r>
            <w:r>
              <w:rPr>
                <w:rFonts w:ascii="仿宋" w:eastAsia="仿宋" w:hAnsi="仿宋" w:cs="仿宋" w:hint="eastAsia"/>
                <w:sz w:val="21"/>
                <w:szCs w:val="21"/>
              </w:rPr>
              <w:t>日进行调查处理，并将该垃圾堆放地垃圾全部清运处理，填土复绿，开展灭蚊灭蝇工作，并安排专人看管，设立标识牌，禁止将垃圾堆放该处。反映“今天又有人堆放垃圾，请督查组下来处理。香樟村的垃圾都是焚烧处理的”，情况不属实。</w:t>
            </w:r>
            <w:r>
              <w:rPr>
                <w:rFonts w:ascii="仿宋" w:eastAsia="仿宋" w:hAnsi="仿宋" w:cs="仿宋"/>
                <w:sz w:val="21"/>
                <w:szCs w:val="21"/>
              </w:rPr>
              <w:t>9</w:t>
            </w:r>
            <w:r>
              <w:rPr>
                <w:rFonts w:ascii="仿宋" w:eastAsia="仿宋" w:hAnsi="仿宋" w:cs="仿宋" w:hint="eastAsia"/>
                <w:sz w:val="21"/>
                <w:szCs w:val="21"/>
              </w:rPr>
              <w:t>月</w:t>
            </w:r>
            <w:r>
              <w:rPr>
                <w:rFonts w:ascii="仿宋" w:eastAsia="仿宋" w:hAnsi="仿宋" w:cs="仿宋"/>
                <w:sz w:val="21"/>
                <w:szCs w:val="21"/>
              </w:rPr>
              <w:t>22</w:t>
            </w:r>
            <w:r>
              <w:rPr>
                <w:rFonts w:ascii="仿宋" w:eastAsia="仿宋" w:hAnsi="仿宋" w:cs="仿宋" w:hint="eastAsia"/>
                <w:sz w:val="21"/>
                <w:szCs w:val="21"/>
              </w:rPr>
              <w:t>日现场核查，未发现有人再次倾倒垃圾，垃圾堆放地也没有垃圾焚烧痕迹。</w:t>
            </w:r>
          </w:p>
        </w:tc>
        <w:tc>
          <w:tcPr>
            <w:tcW w:w="824" w:type="dxa"/>
            <w:vAlign w:val="center"/>
          </w:tcPr>
          <w:p w:rsidR="00A90476" w:rsidRDefault="00A90476">
            <w:pPr>
              <w:snapToGrid w:val="0"/>
              <w:jc w:val="center"/>
              <w:rPr>
                <w:rFonts w:ascii="仿宋_GB2312" w:cs="仿宋_GB2312"/>
                <w:color w:val="000000"/>
                <w:sz w:val="24"/>
                <w:szCs w:val="24"/>
              </w:rPr>
            </w:pPr>
            <w:r>
              <w:rPr>
                <w:rFonts w:ascii="仿宋" w:eastAsia="仿宋" w:hAnsi="仿宋" w:cs="仿宋" w:hint="eastAsia"/>
                <w:sz w:val="21"/>
                <w:szCs w:val="21"/>
              </w:rPr>
              <w:t>属实</w:t>
            </w:r>
          </w:p>
        </w:tc>
        <w:tc>
          <w:tcPr>
            <w:tcW w:w="2245" w:type="dxa"/>
            <w:vAlign w:val="center"/>
          </w:tcPr>
          <w:p w:rsidR="00A90476" w:rsidRDefault="00A90476">
            <w:pPr>
              <w:snapToGrid w:val="0"/>
              <w:ind w:firstLineChars="200" w:firstLine="420"/>
              <w:rPr>
                <w:rFonts w:ascii="仿宋_GB2312" w:cs="仿宋_GB2312"/>
                <w:color w:val="000000"/>
                <w:sz w:val="24"/>
                <w:szCs w:val="24"/>
              </w:rPr>
            </w:pPr>
            <w:r>
              <w:rPr>
                <w:rFonts w:ascii="仿宋" w:eastAsia="仿宋" w:hAnsi="仿宋" w:cs="仿宋" w:hint="eastAsia"/>
                <w:sz w:val="21"/>
                <w:szCs w:val="21"/>
              </w:rPr>
              <w:t>已办结。县委县政府高度重视，立即责令竹市镇派员进行调查核实，开展垃圾堆放地不定时巡查工作，确保垃圾堆放地整治到位，不再出现村民倾倒垃圾事件。</w:t>
            </w:r>
            <w:bookmarkStart w:id="0" w:name="_GoBack"/>
            <w:bookmarkEnd w:id="0"/>
          </w:p>
        </w:tc>
        <w:tc>
          <w:tcPr>
            <w:tcW w:w="1130" w:type="dxa"/>
            <w:vAlign w:val="center"/>
          </w:tcPr>
          <w:p w:rsidR="00A90476" w:rsidRDefault="00A90476">
            <w:pPr>
              <w:snapToGrid w:val="0"/>
              <w:jc w:val="center"/>
              <w:rPr>
                <w:rFonts w:ascii="仿宋_GB2312" w:cs="仿宋_GB2312"/>
                <w:color w:val="000000"/>
                <w:sz w:val="24"/>
                <w:szCs w:val="24"/>
              </w:rPr>
            </w:pPr>
            <w:r>
              <w:rPr>
                <w:rFonts w:ascii="仿宋" w:eastAsia="仿宋" w:hAnsi="仿宋" w:cs="仿宋" w:hint="eastAsia"/>
                <w:sz w:val="21"/>
                <w:szCs w:val="21"/>
              </w:rPr>
              <w:t>无</w:t>
            </w:r>
          </w:p>
        </w:tc>
        <w:tc>
          <w:tcPr>
            <w:tcW w:w="941" w:type="dxa"/>
            <w:vAlign w:val="center"/>
          </w:tcPr>
          <w:p w:rsidR="00A90476" w:rsidRDefault="00A90476">
            <w:pPr>
              <w:snapToGrid w:val="0"/>
              <w:jc w:val="center"/>
              <w:rPr>
                <w:rFonts w:ascii="仿宋_GB2312" w:cs="仿宋_GB2312"/>
                <w:color w:val="000000"/>
                <w:sz w:val="24"/>
                <w:szCs w:val="24"/>
              </w:rPr>
            </w:pPr>
            <w:r>
              <w:rPr>
                <w:rFonts w:ascii="仿宋_GB2312" w:hAnsi="仿宋_GB2312" w:cs="仿宋_GB2312" w:hint="eastAsia"/>
                <w:color w:val="000000"/>
                <w:sz w:val="24"/>
                <w:szCs w:val="24"/>
              </w:rPr>
              <w:t>曾广磊</w:t>
            </w:r>
          </w:p>
        </w:tc>
        <w:tc>
          <w:tcPr>
            <w:tcW w:w="1559" w:type="dxa"/>
            <w:vAlign w:val="center"/>
          </w:tcPr>
          <w:p w:rsidR="00A90476" w:rsidRDefault="00A90476">
            <w:pPr>
              <w:snapToGrid w:val="0"/>
              <w:jc w:val="center"/>
              <w:rPr>
                <w:rFonts w:ascii="仿宋_GB2312" w:cs="仿宋_GB2312"/>
                <w:color w:val="000000"/>
                <w:sz w:val="24"/>
                <w:szCs w:val="24"/>
              </w:rPr>
            </w:pPr>
            <w:r>
              <w:rPr>
                <w:rFonts w:ascii="仿宋_GB2312" w:hAnsi="仿宋_GB2312" w:cs="仿宋_GB2312"/>
                <w:color w:val="000000"/>
                <w:sz w:val="24"/>
                <w:szCs w:val="24"/>
              </w:rPr>
              <w:t>18807394199</w:t>
            </w:r>
          </w:p>
        </w:tc>
      </w:tr>
    </w:tbl>
    <w:p w:rsidR="00A90476" w:rsidRDefault="00A90476">
      <w:pPr>
        <w:pStyle w:val="NormalIndent"/>
        <w:ind w:firstLineChars="0" w:firstLine="0"/>
      </w:pPr>
    </w:p>
    <w:sectPr w:rsidR="00A90476" w:rsidSect="00373A62">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76" w:rsidRDefault="00A90476">
      <w:r>
        <w:separator/>
      </w:r>
    </w:p>
  </w:endnote>
  <w:endnote w:type="continuationSeparator" w:id="0">
    <w:p w:rsidR="00A90476" w:rsidRDefault="00A904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76" w:rsidRDefault="00A904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76" w:rsidRDefault="00A904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76" w:rsidRDefault="00A90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76" w:rsidRDefault="00A90476">
      <w:r>
        <w:separator/>
      </w:r>
    </w:p>
  </w:footnote>
  <w:footnote w:type="continuationSeparator" w:id="0">
    <w:p w:rsidR="00A90476" w:rsidRDefault="00A90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76" w:rsidRDefault="00A904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76" w:rsidRDefault="00A90476" w:rsidP="000564B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76" w:rsidRDefault="00A904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811A1D"/>
    <w:rsid w:val="000564B8"/>
    <w:rsid w:val="001423D4"/>
    <w:rsid w:val="0028304B"/>
    <w:rsid w:val="00373A62"/>
    <w:rsid w:val="00A90476"/>
    <w:rsid w:val="027B24E5"/>
    <w:rsid w:val="1E811A1D"/>
    <w:rsid w:val="2D3F29D5"/>
    <w:rsid w:val="3607687D"/>
    <w:rsid w:val="505072C5"/>
    <w:rsid w:val="681412E0"/>
    <w:rsid w:val="69591B10"/>
    <w:rsid w:val="70906B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373A62"/>
    <w:pPr>
      <w:widowControl w:val="0"/>
      <w:jc w:val="both"/>
    </w:pPr>
    <w:rPr>
      <w:rFonts w:ascii="Times New Roman" w:eastAsia="仿宋_GB2312" w:hAnsi="Times New Roman"/>
      <w:kern w:val="0"/>
      <w:sz w:val="32"/>
      <w:szCs w:val="20"/>
    </w:rPr>
  </w:style>
  <w:style w:type="paragraph" w:styleId="Heading1">
    <w:name w:val="heading 1"/>
    <w:basedOn w:val="Normal"/>
    <w:next w:val="Normal"/>
    <w:link w:val="Heading1Char"/>
    <w:uiPriority w:val="99"/>
    <w:qFormat/>
    <w:rsid w:val="00373A62"/>
    <w:pPr>
      <w:keepNext/>
      <w:keepLines/>
      <w:spacing w:line="600" w:lineRule="exact"/>
      <w:jc w:val="center"/>
      <w:outlineLvl w:val="0"/>
    </w:pPr>
    <w:rPr>
      <w:rFonts w:ascii="Calibri" w:hAnsi="Calibri"/>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11A"/>
    <w:rPr>
      <w:rFonts w:ascii="Times New Roman" w:eastAsia="仿宋_GB2312" w:hAnsi="Times New Roman"/>
      <w:b/>
      <w:bCs/>
      <w:kern w:val="44"/>
      <w:sz w:val="44"/>
      <w:szCs w:val="44"/>
    </w:rPr>
  </w:style>
  <w:style w:type="paragraph" w:styleId="NormalIndent">
    <w:name w:val="Normal Indent"/>
    <w:basedOn w:val="Normal"/>
    <w:uiPriority w:val="99"/>
    <w:rsid w:val="00373A62"/>
    <w:pPr>
      <w:ind w:firstLineChars="200" w:firstLine="420"/>
    </w:pPr>
    <w:rPr>
      <w:rFonts w:ascii="仿宋_GB2312"/>
      <w:kern w:val="2"/>
      <w:sz w:val="30"/>
      <w:szCs w:val="24"/>
    </w:rPr>
  </w:style>
  <w:style w:type="paragraph" w:customStyle="1" w:styleId="ListParagraph1">
    <w:name w:val="List Paragraph1"/>
    <w:basedOn w:val="Normal"/>
    <w:uiPriority w:val="99"/>
    <w:rsid w:val="00373A62"/>
    <w:pPr>
      <w:ind w:firstLineChars="200" w:firstLine="420"/>
    </w:pPr>
  </w:style>
  <w:style w:type="paragraph" w:styleId="Header">
    <w:name w:val="header"/>
    <w:basedOn w:val="Normal"/>
    <w:link w:val="HeaderChar"/>
    <w:uiPriority w:val="99"/>
    <w:rsid w:val="000564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A411A"/>
    <w:rPr>
      <w:rFonts w:ascii="Times New Roman" w:eastAsia="仿宋_GB2312" w:hAnsi="Times New Roman"/>
      <w:kern w:val="0"/>
      <w:sz w:val="18"/>
      <w:szCs w:val="18"/>
    </w:rPr>
  </w:style>
  <w:style w:type="paragraph" w:styleId="Footer">
    <w:name w:val="footer"/>
    <w:basedOn w:val="Normal"/>
    <w:link w:val="FooterChar"/>
    <w:uiPriority w:val="99"/>
    <w:rsid w:val="000564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A411A"/>
    <w:rPr>
      <w:rFonts w:ascii="Times New Roman" w:eastAsia="仿宋_GB2312" w:hAnsi="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306</Words>
  <Characters>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cp:revision>
  <cp:lastPrinted>2020-09-23T05:43:00Z</cp:lastPrinted>
  <dcterms:created xsi:type="dcterms:W3CDTF">2020-09-18T02:50:00Z</dcterms:created>
  <dcterms:modified xsi:type="dcterms:W3CDTF">2020-09-24T07:14:00Z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