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洞口县机关事务服务中心整体支出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rFonts w:ascii="仿宋" w:hAnsi="仿宋" w:eastAsia="楷体"/>
          <w:b/>
          <w:sz w:val="30"/>
          <w:szCs w:val="30"/>
        </w:rPr>
      </w:pPr>
      <w:r>
        <w:rPr>
          <w:rFonts w:hint="eastAsia" w:ascii="仿宋" w:hAnsi="仿宋" w:eastAsia="楷体"/>
          <w:b/>
          <w:sz w:val="30"/>
          <w:szCs w:val="30"/>
        </w:rPr>
        <w:t>一、部门概况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（一）基本情况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洞口县机关事务服务中心位于洞口县文昌街道桔城西路248号党政机关大院内。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洞口县机关事务服务中心现属全额拨款事业单位，隶属洞口县委管理。现有职工22人，其中在职人员22人，退休人员0人。内设综合股、财务股、接待服务股、公务用车事务股、办公用房事务股、后勤服务股。无下辖机构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单位的主要职能是：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1、为全县机关事务管理工作提供服务保障；拟订机关事务服务工作的规章制度并组织实施。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2、负责全县行政事业单位办公用房调剂、配置、维修、处置和使用监管等方面的事务性工作。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3、负责全县行政事业单位公务用车的编制、配备、更新、具体处置以及公务用车经费管理等相关事务性工作；负责全县公务用车服务平台的建设、监管、运营等事务性工作。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4、负责县委、县人大、县政府、县政协重要会议的服务保障等工作；负责县委、县政府交办的来宾接待、会议接待服务工作。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5、承担全县后勤体制改革相关事务性工作；组织实施全县机关后勤员工培训工作。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负责县委机关食堂的服务管理工作；负责县委大院内办公区办公用房、水电、环境卫生、绿化、安全保卫、社会治安综合治理、消防、交通秩序、车辆管理等服务管理工作；负责县人民大会场日常使用、检修等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7、承办县委、县政府交办的其它事项。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（二）资金支出管理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报账人员必须严格执行财经纪律和财务制度。应根据真实、合法、完整、手续齐全的原始凭证办理收付手续，并将办理后的原始凭证移交会计人员。各项开支报销必须注明时间、地点、人物、事由及相关附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（2）实行财务支出一支笔审批制度。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（3）办公用品由综合股统一编制采购计划，经分管领导审批同意后购买，并负责保管、分发。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（4）大额采购，必须经领导班子集体讨论，并按规定履行政府采购手续。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（5）工作人员外出考察学习，办理公务，必须持有上级有关文件或电话通知记录，经主要领导同意，费用实行一次一报制度，非上级安排的进修学习、费用一律自理。</w:t>
      </w:r>
    </w:p>
    <w:p>
      <w:pPr>
        <w:ind w:firstLine="602" w:firstLineChars="200"/>
        <w:rPr>
          <w:rFonts w:ascii="仿宋" w:hAnsi="仿宋" w:eastAsia="楷体"/>
          <w:b/>
          <w:sz w:val="30"/>
          <w:szCs w:val="30"/>
        </w:rPr>
      </w:pPr>
      <w:r>
        <w:rPr>
          <w:rFonts w:hint="eastAsia" w:ascii="仿宋" w:hAnsi="仿宋" w:eastAsia="楷体"/>
          <w:b/>
          <w:sz w:val="30"/>
          <w:szCs w:val="30"/>
        </w:rPr>
        <w:t>二、部门整体支出管理及使用情况：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（一）基本支出情况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基本支出用于保障单位正常运转、完成日常工作任务而发生的支出，包括人员经费和公用经费。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我单位2022年预算指标数为216.55万元，实际安排到单位的指标为767.89万元。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2022年年初预算批复的基本支出为</w:t>
      </w:r>
      <w:r>
        <w:rPr>
          <w:rFonts w:ascii="仿宋" w:hAnsi="仿宋" w:eastAsia="仿宋"/>
          <w:sz w:val="30"/>
          <w:szCs w:val="30"/>
        </w:rPr>
        <w:t>216.55</w:t>
      </w:r>
      <w:r>
        <w:rPr>
          <w:rFonts w:hint="eastAsia" w:ascii="仿宋" w:hAnsi="仿宋" w:eastAsia="仿宋"/>
          <w:sz w:val="30"/>
          <w:szCs w:val="30"/>
        </w:rPr>
        <w:t>万元。2022年决算基本支出767.89万元，其中：工资福利支出</w:t>
      </w:r>
      <w:r>
        <w:rPr>
          <w:rFonts w:ascii="仿宋" w:hAnsi="仿宋" w:eastAsia="仿宋"/>
          <w:sz w:val="30"/>
          <w:szCs w:val="30"/>
        </w:rPr>
        <w:t>249</w:t>
      </w:r>
      <w:r>
        <w:rPr>
          <w:rFonts w:hint="eastAsia" w:ascii="仿宋" w:hAnsi="仿宋" w:eastAsia="仿宋"/>
          <w:sz w:val="30"/>
          <w:szCs w:val="30"/>
        </w:rPr>
        <w:t>.18万元，商品和服务支出</w:t>
      </w:r>
      <w:r>
        <w:rPr>
          <w:rFonts w:ascii="仿宋" w:hAnsi="仿宋" w:eastAsia="仿宋"/>
          <w:sz w:val="30"/>
          <w:szCs w:val="30"/>
        </w:rPr>
        <w:t>426</w:t>
      </w:r>
      <w:r>
        <w:rPr>
          <w:rFonts w:hint="eastAsia" w:ascii="仿宋" w:hAnsi="仿宋" w:eastAsia="仿宋"/>
          <w:sz w:val="30"/>
          <w:szCs w:val="30"/>
        </w:rPr>
        <w:t>.23万元，资本性支出</w:t>
      </w:r>
      <w:r>
        <w:rPr>
          <w:rFonts w:ascii="仿宋" w:hAnsi="仿宋" w:eastAsia="仿宋"/>
          <w:sz w:val="30"/>
          <w:szCs w:val="30"/>
        </w:rPr>
        <w:t>92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48</w:t>
      </w:r>
      <w:r>
        <w:rPr>
          <w:rFonts w:hint="eastAsia" w:ascii="仿宋" w:hAnsi="仿宋" w:eastAsia="仿宋"/>
          <w:sz w:val="30"/>
          <w:szCs w:val="30"/>
        </w:rPr>
        <w:t>万元。决算数与年初预算指标对比，基本差异551.34万元，其中工资福利支出差异</w:t>
      </w:r>
      <w:r>
        <w:rPr>
          <w:rFonts w:ascii="仿宋" w:hAnsi="仿宋" w:eastAsia="仿宋"/>
          <w:sz w:val="30"/>
          <w:szCs w:val="30"/>
        </w:rPr>
        <w:t>86.66</w:t>
      </w:r>
      <w:r>
        <w:rPr>
          <w:rFonts w:hint="eastAsia" w:ascii="仿宋" w:hAnsi="仿宋" w:eastAsia="仿宋"/>
          <w:sz w:val="30"/>
          <w:szCs w:val="30"/>
        </w:rPr>
        <w:t>万元，主要原因为工资普调、新增人员、年终绩效等；商品和服务支出差异为</w:t>
      </w:r>
      <w:r>
        <w:rPr>
          <w:rFonts w:ascii="仿宋" w:hAnsi="仿宋" w:eastAsia="仿宋"/>
          <w:sz w:val="30"/>
          <w:szCs w:val="30"/>
        </w:rPr>
        <w:t>464.68</w:t>
      </w:r>
      <w:r>
        <w:rPr>
          <w:rFonts w:hint="eastAsia" w:ascii="仿宋" w:hAnsi="仿宋" w:eastAsia="仿宋"/>
          <w:sz w:val="30"/>
          <w:szCs w:val="30"/>
        </w:rPr>
        <w:t>万元，主要原因为地方外事费、机关大院保安费、机关食堂工人工资等未计入本单位预算的专项支出，及未做预算的机关大院维修费等；其他资本性支出主要是为公车平台换购车辆等。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（二）“三公”经费情况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2022全年决算支出“三公”经费</w:t>
      </w:r>
      <w:r>
        <w:rPr>
          <w:rFonts w:ascii="仿宋" w:hAnsi="仿宋" w:eastAsia="仿宋"/>
          <w:sz w:val="30"/>
          <w:szCs w:val="30"/>
        </w:rPr>
        <w:t>197.95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万元，其中公务接待费100.47万元、本单位公务用车购置及运行维护费7.58万元，公车平台公务用车换购费89.90万元。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1、公务接待费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2022年公务接待费为</w:t>
      </w:r>
      <w:r>
        <w:rPr>
          <w:rFonts w:ascii="仿宋" w:hAnsi="仿宋" w:eastAsia="仿宋"/>
          <w:sz w:val="30"/>
          <w:szCs w:val="30"/>
        </w:rPr>
        <w:t>100.47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2、公务用车购置及运行维护费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2022年单位实有车辆2辆，其中公共预算财政拨款开支运行维护费的公务用车保有量为2辆。其中：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（1）公务用车运行维护费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2022年的公务车运行维护费为7.58万元，2021年度公务车运行维护费10.12万元，较上年减少2.54万元，原因是减少出行、节约开支。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（1）公务用车购置费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2022年本单位购置公车0辆，耗资0.00万元。公车平台换购车辆5台，耗资89.90万元。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（三）基本支出———公用经费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2022年初批复预算的公用经费为</w:t>
      </w:r>
      <w:r>
        <w:rPr>
          <w:rFonts w:ascii="仿宋" w:hAnsi="仿宋" w:eastAsia="仿宋"/>
          <w:sz w:val="30"/>
          <w:szCs w:val="30"/>
        </w:rPr>
        <w:t>54.03</w:t>
      </w:r>
      <w:r>
        <w:rPr>
          <w:rFonts w:hint="eastAsia" w:ascii="仿宋" w:hAnsi="仿宋" w:eastAsia="仿宋"/>
          <w:sz w:val="30"/>
          <w:szCs w:val="30"/>
        </w:rPr>
        <w:t>万元，全年决算公用经费支出为</w:t>
      </w:r>
      <w:r>
        <w:rPr>
          <w:rFonts w:ascii="仿宋" w:hAnsi="仿宋" w:eastAsia="仿宋"/>
          <w:sz w:val="30"/>
          <w:szCs w:val="30"/>
        </w:rPr>
        <w:t>518.71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（三）绩效评价工作情况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开展2022年度各预算单位部门整体支出绩效自评价工作的通知》（洞财绩【2022】2号）文件（正式文件后发），我单位成立了绩效评价工作领导小组，制定了《2022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ind w:firstLine="602" w:firstLineChars="200"/>
        <w:rPr>
          <w:rFonts w:ascii="仿宋" w:hAnsi="仿宋" w:eastAsia="楷体"/>
          <w:b/>
          <w:sz w:val="30"/>
          <w:szCs w:val="30"/>
        </w:rPr>
      </w:pPr>
      <w:r>
        <w:rPr>
          <w:rFonts w:hint="eastAsia" w:ascii="仿宋" w:hAnsi="仿宋" w:eastAsia="楷体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，我单位在上级主管部门领导下，坚持稳中求进、改革创新、积极作为，突出抓改革强监管促发展，各方面工作稳步推进，根据我中心制定的《部门整体支出绩效评价自评分值表》评分，得分为90分，财政支出绩效为优秀，主要成绩如下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旗帜鲜明讲政治。在县委县政府领导下，中心上下始终把讲政治放在首要位置，树立县委、县政府的中心工作安排到哪里，机关事务服务工作就跟进到哪里的意识，强化政治引领，找准职能定位，围绕中心工作，服务中心大局，服务机关运行，力求在我县“三区一中心”发展战略中彰显机关事务服务力量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求真务实强保障。常态化做好机关院内疫情防控、维修管理、安全保卫和绿化亮化等工作，安装了“一键式报警”和“疫情防控数据分析”平台；为改变机关院内老旧面貌和院内电网线交错现状，对机关大门、强弱电进行了扩容升级改造，对机关院内大楼外墙进行了维护改造，为机关办公提供安全平稳有序保障，力争营造良好的工作环境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高质高效抓服务。严格落实中央八项规定及其实施细则，不擅自提高接待规格和标准，不突破规定和要求，做到既热情周到又不铺张浪费的同时重点突出洞口特色，2022年共接待和协助指导接待各级领导和各方来宾145批2100余人次，其中接待省部级领导6批次、厅、局级领导170余人次，保障了1月份全市高标准农田水利推进会、邵阳市金融助力洞口高质量发展政银企座谈会暨2022年“洞口企业家日”活动、4月15日全县防疫演练等重大活动，1月份县委经济工作会议、3月份“洞口县市域社会治理现代化试点工作、社会治理六大行动”等重大会议公务接待水平得到了进一步提升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安全有序保运行。我县党政机关公务用车160台,其中机关公务用车57台（实物保障用车2台，24个乡镇（管理区）各保留一台，其余31台由我中心公车平台统一管理）执法执勤用车103台。中心加强公务用车使用、调配、轨迹信息化管理平台建设，公务用车纳入全省一张网，同步管理平台信息，目前57台党政机关公务用车（除实物保障车）已全部纳入“全省一张网”信息平台，公车监管网络系统已初具规模，做到对公务用车智能化设置、集中式管理、分布式监控，现了平台信息化、车辆标识化。进一步强化安全管理，守住安全底线，提升了公务用车运行效率和保障服务效能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办公用房严管理。根据市机关事务管理局相关文件与中共洞口县委办公室《关于进一步做好办公用房清理整改的通知》精神要求，认真开展办公用房清理整改工作。通过清理整改，全县共有86个行政事业单位上报了办公用房使用情况统计表和平面图，共上报办公用房总面积</w:t>
      </w:r>
      <w:r>
        <w:rPr>
          <w:rFonts w:ascii="仿宋" w:hAnsi="仿宋" w:eastAsia="仿宋"/>
          <w:sz w:val="30"/>
          <w:szCs w:val="30"/>
        </w:rPr>
        <w:t>40653.27</w:t>
      </w:r>
      <w:r>
        <w:rPr>
          <w:rFonts w:hint="eastAsia" w:ascii="仿宋" w:hAnsi="仿宋" w:eastAsia="仿宋"/>
          <w:sz w:val="30"/>
          <w:szCs w:val="30"/>
        </w:rPr>
        <w:t>㎡，服务用房总面积</w:t>
      </w:r>
      <w:r>
        <w:rPr>
          <w:rFonts w:ascii="仿宋" w:hAnsi="仿宋" w:eastAsia="仿宋"/>
          <w:sz w:val="30"/>
          <w:szCs w:val="30"/>
        </w:rPr>
        <w:t>41841.13</w:t>
      </w:r>
      <w:r>
        <w:rPr>
          <w:rFonts w:hint="eastAsia" w:ascii="仿宋" w:hAnsi="仿宋" w:eastAsia="仿宋"/>
          <w:sz w:val="30"/>
          <w:szCs w:val="30"/>
        </w:rPr>
        <w:t>㎡，附属用房总面积</w:t>
      </w:r>
      <w:r>
        <w:rPr>
          <w:rFonts w:ascii="仿宋" w:hAnsi="仿宋" w:eastAsia="仿宋"/>
          <w:sz w:val="30"/>
          <w:szCs w:val="30"/>
        </w:rPr>
        <w:t>9231.39</w:t>
      </w:r>
      <w:r>
        <w:rPr>
          <w:rFonts w:hint="eastAsia" w:ascii="仿宋" w:hAnsi="仿宋" w:eastAsia="仿宋"/>
          <w:sz w:val="30"/>
          <w:szCs w:val="30"/>
        </w:rPr>
        <w:t>㎡，技术业务用房总面积</w:t>
      </w:r>
      <w:r>
        <w:rPr>
          <w:rFonts w:ascii="仿宋" w:hAnsi="仿宋" w:eastAsia="仿宋"/>
          <w:sz w:val="30"/>
          <w:szCs w:val="30"/>
        </w:rPr>
        <w:t>14687.64</w:t>
      </w:r>
      <w:r>
        <w:rPr>
          <w:rFonts w:hint="eastAsia" w:ascii="仿宋" w:hAnsi="仿宋" w:eastAsia="仿宋"/>
          <w:sz w:val="30"/>
          <w:szCs w:val="30"/>
        </w:rPr>
        <w:t>㎡，共有11个单位进行了备案登记。坚持“厉行节约，整合资源”原则，对全县机关单位办公用房进行统筹管理，整合闲置办公用房20间，共调整了8个单位办公用房。</w:t>
      </w:r>
    </w:p>
    <w:p>
      <w:pPr>
        <w:ind w:firstLine="602" w:firstLineChars="200"/>
        <w:rPr>
          <w:rFonts w:ascii="仿宋" w:hAnsi="仿宋" w:eastAsia="楷体"/>
          <w:b/>
          <w:sz w:val="30"/>
          <w:szCs w:val="30"/>
        </w:rPr>
      </w:pPr>
      <w:r>
        <w:rPr>
          <w:rFonts w:hint="eastAsia" w:ascii="仿宋" w:hAnsi="仿宋" w:eastAsia="楷体"/>
          <w:b/>
          <w:sz w:val="30"/>
          <w:szCs w:val="30"/>
        </w:rPr>
        <w:t>四、存在的主要问题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（二）经费保障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多项经常性工作的经费没有纳入预算，如机关大院保安费、食堂临时工工资、大型维修项目等，一是造成不能及时正常支出，二是造成决算支出大于预算支出。</w:t>
      </w:r>
    </w:p>
    <w:p>
      <w:pPr>
        <w:ind w:firstLine="602" w:firstLineChars="200"/>
        <w:rPr>
          <w:rFonts w:ascii="仿宋" w:hAnsi="仿宋" w:eastAsia="楷体"/>
          <w:b/>
          <w:sz w:val="30"/>
          <w:szCs w:val="30"/>
        </w:rPr>
      </w:pPr>
      <w:r>
        <w:rPr>
          <w:rFonts w:hint="eastAsia" w:ascii="仿宋" w:hAnsi="仿宋" w:eastAsia="楷体"/>
          <w:b/>
          <w:sz w:val="30"/>
          <w:szCs w:val="30"/>
        </w:rPr>
        <w:t>五、进措施和有关建议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（一）请财政根据实际情况，提高年初部门预算额度。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（二）进一步堆满绩效目标编制。在编制资金绩效目标时要求指向明确、细化量化、合理可行、相应匹配。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ind w:firstLine="5250" w:firstLineChars="175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洞口县机关事务服务中心</w:t>
      </w: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2023年4月19日</w:t>
      </w:r>
    </w:p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13C"/>
    <w:rsid w:val="000138F8"/>
    <w:rsid w:val="00027F1A"/>
    <w:rsid w:val="00053565"/>
    <w:rsid w:val="0006032F"/>
    <w:rsid w:val="00067F00"/>
    <w:rsid w:val="000855EC"/>
    <w:rsid w:val="000B7D9B"/>
    <w:rsid w:val="000F161D"/>
    <w:rsid w:val="00100697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F63E4"/>
    <w:rsid w:val="002210D5"/>
    <w:rsid w:val="002229D7"/>
    <w:rsid w:val="00233F0B"/>
    <w:rsid w:val="00244BCF"/>
    <w:rsid w:val="00245C7C"/>
    <w:rsid w:val="00282E96"/>
    <w:rsid w:val="00296154"/>
    <w:rsid w:val="002A325F"/>
    <w:rsid w:val="002A6DA0"/>
    <w:rsid w:val="002C795D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71B0"/>
    <w:rsid w:val="00467F58"/>
    <w:rsid w:val="004901FD"/>
    <w:rsid w:val="00492D32"/>
    <w:rsid w:val="004B71E6"/>
    <w:rsid w:val="004C0E6C"/>
    <w:rsid w:val="004D491E"/>
    <w:rsid w:val="00515144"/>
    <w:rsid w:val="0051565D"/>
    <w:rsid w:val="00527766"/>
    <w:rsid w:val="005737B9"/>
    <w:rsid w:val="00573E1B"/>
    <w:rsid w:val="00580BBC"/>
    <w:rsid w:val="005C0E0E"/>
    <w:rsid w:val="005C1754"/>
    <w:rsid w:val="005D6347"/>
    <w:rsid w:val="00627593"/>
    <w:rsid w:val="00633FF3"/>
    <w:rsid w:val="006B4133"/>
    <w:rsid w:val="006B7DB6"/>
    <w:rsid w:val="006E61A1"/>
    <w:rsid w:val="00702AD8"/>
    <w:rsid w:val="00704A4D"/>
    <w:rsid w:val="007171E9"/>
    <w:rsid w:val="007225D9"/>
    <w:rsid w:val="00726F7C"/>
    <w:rsid w:val="00737D4C"/>
    <w:rsid w:val="00763889"/>
    <w:rsid w:val="007A230F"/>
    <w:rsid w:val="007D75E7"/>
    <w:rsid w:val="007F7C97"/>
    <w:rsid w:val="008323C5"/>
    <w:rsid w:val="0087657E"/>
    <w:rsid w:val="00882A91"/>
    <w:rsid w:val="00897FF8"/>
    <w:rsid w:val="008A0068"/>
    <w:rsid w:val="008A4115"/>
    <w:rsid w:val="008C57E4"/>
    <w:rsid w:val="008C7064"/>
    <w:rsid w:val="008D259B"/>
    <w:rsid w:val="008D3AAE"/>
    <w:rsid w:val="008E13A0"/>
    <w:rsid w:val="008F1BEC"/>
    <w:rsid w:val="008F5728"/>
    <w:rsid w:val="0090269D"/>
    <w:rsid w:val="00916F43"/>
    <w:rsid w:val="00924A5D"/>
    <w:rsid w:val="00932D3A"/>
    <w:rsid w:val="00972E2E"/>
    <w:rsid w:val="00983C8C"/>
    <w:rsid w:val="009B744A"/>
    <w:rsid w:val="009B7F3E"/>
    <w:rsid w:val="009C793D"/>
    <w:rsid w:val="009D2A6D"/>
    <w:rsid w:val="009D613C"/>
    <w:rsid w:val="009E28AC"/>
    <w:rsid w:val="00A00385"/>
    <w:rsid w:val="00A042F9"/>
    <w:rsid w:val="00A07F22"/>
    <w:rsid w:val="00A72F48"/>
    <w:rsid w:val="00A90833"/>
    <w:rsid w:val="00AB5747"/>
    <w:rsid w:val="00AD19F4"/>
    <w:rsid w:val="00AE36B1"/>
    <w:rsid w:val="00AF3156"/>
    <w:rsid w:val="00B0382B"/>
    <w:rsid w:val="00B15C79"/>
    <w:rsid w:val="00B52312"/>
    <w:rsid w:val="00BA66C5"/>
    <w:rsid w:val="00BB0471"/>
    <w:rsid w:val="00BC7371"/>
    <w:rsid w:val="00C17897"/>
    <w:rsid w:val="00C270CA"/>
    <w:rsid w:val="00C85E1C"/>
    <w:rsid w:val="00CA4CC0"/>
    <w:rsid w:val="00CE1C04"/>
    <w:rsid w:val="00CF24BE"/>
    <w:rsid w:val="00CF5995"/>
    <w:rsid w:val="00CF784A"/>
    <w:rsid w:val="00D04239"/>
    <w:rsid w:val="00D06B92"/>
    <w:rsid w:val="00D077D6"/>
    <w:rsid w:val="00D36EAD"/>
    <w:rsid w:val="00D44204"/>
    <w:rsid w:val="00D45AF8"/>
    <w:rsid w:val="00D518F8"/>
    <w:rsid w:val="00D51F89"/>
    <w:rsid w:val="00DC687F"/>
    <w:rsid w:val="00DE01E7"/>
    <w:rsid w:val="00DE351A"/>
    <w:rsid w:val="00DF4C77"/>
    <w:rsid w:val="00DF78CB"/>
    <w:rsid w:val="00E2654B"/>
    <w:rsid w:val="00E3539A"/>
    <w:rsid w:val="00E62608"/>
    <w:rsid w:val="00E6780C"/>
    <w:rsid w:val="00E92D05"/>
    <w:rsid w:val="00E975B4"/>
    <w:rsid w:val="00EB73CA"/>
    <w:rsid w:val="00EE25F6"/>
    <w:rsid w:val="00EF1379"/>
    <w:rsid w:val="00F0552F"/>
    <w:rsid w:val="00F132BD"/>
    <w:rsid w:val="00F14BED"/>
    <w:rsid w:val="00F229B3"/>
    <w:rsid w:val="00F4058F"/>
    <w:rsid w:val="00F4496E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303646AD"/>
    <w:rsid w:val="3AAB6280"/>
    <w:rsid w:val="6DB1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510</Words>
  <Characters>2908</Characters>
  <Lines>24</Lines>
  <Paragraphs>6</Paragraphs>
  <TotalTime>0</TotalTime>
  <ScaleCrop>false</ScaleCrop>
  <LinksUpToDate>false</LinksUpToDate>
  <CharactersWithSpaces>3412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2021-06-04T00:52:00Z</dcterms:created>
  <dc:creator>Administrator</dc:creator>
  <cp:lastModifiedBy>Administrator</cp:lastModifiedBy>
  <cp:lastPrinted>2022-07-08T08:06:00Z</cp:lastPrinted>
  <dcterms:modified xsi:type="dcterms:W3CDTF">2023-09-13T09:20:27Z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