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年度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洞口县市场监督管理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整体支出绩效自评报告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2400" w:firstLineChars="600"/>
        <w:jc w:val="both"/>
        <w:rPr>
          <w:rFonts w:hint="eastAsia" w:ascii="仿宋" w:hAnsi="仿宋" w:eastAsia="仿宋" w:cs="仿宋"/>
          <w:sz w:val="40"/>
          <w:szCs w:val="40"/>
          <w:u w:val="single"/>
          <w:lang w:eastAsia="zh-CN"/>
        </w:rPr>
      </w:pPr>
      <w:r>
        <w:rPr>
          <w:rFonts w:hint="eastAsia" w:ascii="仿宋" w:hAnsi="仿宋" w:eastAsia="仿宋" w:cs="仿宋"/>
          <w:sz w:val="40"/>
          <w:szCs w:val="40"/>
        </w:rPr>
        <w:t>单位名称：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>洞口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>县市场监督管理</w:t>
      </w:r>
      <w:r>
        <w:rPr>
          <w:rFonts w:hint="eastAsia" w:ascii="仿宋" w:hAnsi="仿宋" w:eastAsia="仿宋" w:cs="仿宋"/>
          <w:sz w:val="40"/>
          <w:szCs w:val="40"/>
          <w:u w:val="single"/>
          <w:lang w:eastAsia="zh-CN"/>
        </w:rPr>
        <w:t>局</w:t>
      </w: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2023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4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18 </w:t>
      </w:r>
      <w:r>
        <w:rPr>
          <w:rFonts w:hint="eastAsia" w:ascii="仿宋" w:hAnsi="仿宋" w:eastAsia="仿宋" w:cs="仿宋"/>
          <w:sz w:val="40"/>
          <w:szCs w:val="40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洞口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县市场监督管理</w:t>
      </w:r>
      <w:r>
        <w:rPr>
          <w:rFonts w:hint="eastAsia" w:eastAsia="方正小标宋_GBK" w:cs="Times New Roman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整体支出绩效自评报告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一、部门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黑体" w:cs="Times New Roman"/>
          <w:sz w:val="32"/>
          <w:szCs w:val="32"/>
        </w:rPr>
        <w:t>单位）基本情况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0"/>
          <w:szCs w:val="30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（一）机构、人员构成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洞口县市场监督管理局位于洞口县中部的文昌街道桔城路399号。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洞口县市场监督管理局现属行政单位（单位性质），隶属洞口县人民政府管理。现有职工268人，其中在职人员 161人，退休人员 107人。内设办公室；政工股；政策法规股；财务股；登记注册股；信用监督管理股；反垄断和反不正当竞争股；价格监督检查股；网络交易与广告监督管理股；标准质量安全监督管理股；食品生产安全监督管理股；食品经营安全监督管理股；餐饮服务食品安全监督管理股；药品和医疗器械监督管理股；消费者权益保护股；计量认证认可监督管理股；特种设备安全监察股；知识产权保护股；非公经济组织党建指导股等19个股室。下设10个派出机构，分别是城东市场监督管理所；城南市场监督管理所；城北市场监督管理所；高沙市场监督管理所；石江市场监督管理所；山门市场监督管理所；黄桥市场监督管理所；竹市市场监督管理所；江口市场监督管理所；桥头市场监督管理所。下设5个事业机构，分别是市场监管综合行政执法大队，洞口县检验检测中心；信息中心；消费委员会；洞口县个体私营经济发展指导中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单位主要职责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、负责市场综合监督管理。贯彻执行市场监督管理有关法律、法规、规章，组织实施质量强县战略、食品药品安全战略、标准化战略和知识产权战略，拟订并组织实施全县市场监督管理工作规划、规范性文件，规范和维护市场秩序，营造诚实守信、公平竞争的市场环境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、负责市场主体统一登记注册。指导各类企业（包括授权范围内的外商投资企业）、农民专业合作社和从事经营活动的单位、个体工商户，以及授权范围内的外国（地区）企业常驻代表机构等市场主体的登记注册工作。建立市场主体信息公示和共享机制，依法公示和共享有关信息，加强信用监管，推动市场主体信用体系建设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3、负责组织和指导全县市场监管综合执法工作。负责全县市场监管综合执法队伍整合和建设，推动实行统一的市场监管。组织查处重大违法案件。规范市场监管行政执法行为；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4、负责反垄断执法调查工作。推进竞争政策实施，实施公平竞争审查制度，依委托开展垄断协议、滥用市场支配地位和滥用行政权力排除、限制竞争等反垄断执法调查工作；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5、负责监督管理市场秩序。依法监督管理市场交易、网络商品交易及有关服务的行为。组织指导查处价格收费违法违规、不正当竞争、违法直销、传销、侵犯商标专利知识产权和制售假冒伪劣行为。指导广告业发展，监督管理广告活动。指导查处无照生产经营和相关无证生产经营行为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6、负责宏观质量管理。贯彻国家质量发展的有关政策，拟订推进质量发展战略的政策措施并组织实施。会同有关部门组织实施重大工程设备质量监理制度，组织对重大产品质量事故调查，实施缺陷产品召回制度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7、负责产品质量安全监督管理。负责产品质量安全风险监控、全县监督抽查等相关工作。落实质量分级制度、质量安全追溯制度。负责工业产品生产许可证管理工作。负责纤维质量监督管理工作；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8、负责特种设备的安全监督管理。综合管理特种设备安全监察、监督工作。监督检查高耗能特种设备节能标准和锅炉环境保护标准的执行情况。按规定权限组织调查处理特种设备事故并进行统计分析；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9、负责食品安全监督管理综合协调。组织制定食品安全有关规定并组织实施。负责食品安全应急体系建设，组织和指导食品安全事故和突发事件的应急处置和调查处理工作。建立健全食品安全重要信息直报制度。承担县食品安全委员会日常工作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10、负责食品安全监督管理。建立覆盖食品生产、流通、消费全过程的监督检查制度和隐患排查治理机制并组织实施，防范区域性、系统性食品安全风险。推动建立食品生产经营者落实主体责任机制，健全食品安全追溯体系。组织开展食品安全监督抽检、风险监测、核查处置和风险预警、风险交流工作。组织实施特殊食品监督管理。负责食盐专营管理和食盐安全监督管理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11、负责统一管理计量工作。推行国家法定计量单位和国家计量制度；依职责管理计量器具及量值传递和比对工作。负责规范、监督商品量和市场计量行为；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12、负责统一管理标准化工作。依法承担地方标准的立项、编号和发布工作，指导开展标准化试点示范工作。依据法定职责，对标准的制定进行指导监督，对标准的实施进行监督检查。推行采用国际标准；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13、负责统一管理检验检测和认证认可工作。协调推进检验检测机构改革，规范检验检测市场，完善检验检测体系，指导协调检验检测行业发展。依法对检验检测机构资质资格及其检验活动进行监督管理。依法监督管理认证认可工作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14、负责市场监督管理、知识产权领域科技和信息化建设、新闻宣传、对外交流与合作。按规定承担技术性贸易措施有关工作；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15、负责实施知识产权战略，推进知识产权强县建设。制定实施知识产权创造、保护、运用的政策和措施。负责知识产权公共服务体系建设，推动知识产权信息传播利用；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16、负责保护知识产权。落实严格保护商标、专利、原产地地理标志等相关工作，负责知识产权保护体系建设，组织指导商标、专利执法工作；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17、负责知识产权创造运用。按权限负责商标、专利和原产地地理标志的管理，开展知识产权运营体系建设，指导经济活动知识产权评议，规范知识产权交易和无形资产评估，促进知识产权转移转化；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18、负责组织开展有关服务领域消费维权工作，查处制售假冒伪劣等违法行为，指导消费者咨询、申诉、举报受理、处理和网络体系建设等工作，保护经营者、消费者合法权益；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19、负责权限内药品、医疗器械、化妆品行政许可备案；负责药品、医疗器械、保健食品广告内容的监测；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、负责药品（含中药、民族药，下同）、医疗器械和化妆品安全监督管理。贯彻执行国家药品、医疗器械和化妆品监督管理法律、法规、规章，拟订政策规划并监督实施。研究拟订鼓励药品、医疗器械和化妆品新技术新产品的管理与服务政策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21、负责职责范围内的药品、医疗器械和化妆品标准管理。监督实施药品、医疗器械、化妆品标准和分类管理制度；配合有关部门实施国家基本药物制度；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22、负责药品、医疗器械和化妆品质量管理。依规定监督实施药品生产、经营质量管理规范，监督实施医疗器械生产、经营质量管理规范，监督实施化妆品生产卫生标准和技术规范；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23、负责药品、医疗器械和化妆品上市后风险管理。组织开展药品不良反应、医疗器械不良事件和化妆品不良反应的监测、评价和处置工作。依法承担药品、医疗器械和化妆品安全应急管理工作；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24、负责组织实施药品、医疗器械和化妆品监督检查。依规定依法查处药品、医疗器械和化妆品经营、生产、使用以及互联网销售第三方平台违法行为；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25、负责职责范围内有关行业、领域安全生产监督管理工作；</w:t>
      </w:r>
    </w:p>
    <w:p>
      <w:pPr>
        <w:pStyle w:val="7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26、承办县委、县政府交办的其他任务。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洞口县市场监督管理局本级及二级单位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年度一般公共预算财政拨款年初结转和结余0万元，本年收入3440.88万元，本年支出3440.88万元，年末结转和结余0万元。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基本支出情况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洞口县市场监督管理局本级及二级单位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年度一般公共预算财政拨款基本支出年初结转和结余0万元，本年收入2976.21万元，本年支出2976.21万元，年末结转和结余0万元。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（二）项目支出情况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洞口县市场监督管理局本级及二级单位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年度一般公共预算财政拨款项目支出年初结转和结余0万元，本年收入464.67万元，本年支出464.67万元，年末结转和结余0万元。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三、政府性基金预算支出情况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国有资本经营预算支出情况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社会保险基金预算支出情况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全面落实党的建设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cs="仿宋"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在政治建设方面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根据县委、县政府决策部署，贯彻执行《中国共产党重大事项请示报告条例》，及时研究起草相关政策文件，全年无重大差错；贯彻落实精文减会、做好值班和信息工作，及时、准确、全面报送信息和相关资料。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确保“经得起看”。强化“党建内务”，班子成员定期或不定期深入联点基层党支部，传达党组有关党建工作精神，规范公开公示栏和无关标识标牌清理。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确保“经得起问”。举办业务培训会4次，进行答疑式指导。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确保“经得起查”。规范资料整理，要求基层各党支部设置党建专柜，配齐20套资料盒，统一标签和目录。做好规定动作，确保组织生活正常化。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确保“问题交办整改到位”。联点班子成员以“一看二问三查四交办”的方式对基层党支部开展全覆盖督导，在规定时限开展全面“回头看”，确保整改工作落到实处。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组织党员干部深入学习党的二十大精神，开展学习贯彻党的二十大精神宣讲2次，覆盖党员干部120余人。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cs="仿宋"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（二）在班子团结、队伍建设和公务员管理方面。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color="auto" w:fill="FFFFFF"/>
        </w:rPr>
        <w:t>党风廉政建设进一步加强，通过组织举办党风廉政建设培训、部署党风廉政工作、开展谈心谈话和强化组织文化等，促进党风廉政建设入脑入心。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严格执行民主集中制，班子成员坚持从自身责任抓起，以上率下，制定了局党组全面从严治党主体责任清单，明确每位班子成员抓好分管领域的主体责任，坚持把全面从严治党工作与业务工作同部署、同落实。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从严选用管理监督干部，狠抓领导班子和干部队伍建设，努力打造忠诚干净担当的高素质干部队伍。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深入学习贯彻习近平新时代中国特色社会主义思想，落实培训计划，积极开展国防教育。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cs="仿宋"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（三）在作风建设方面。</w:t>
      </w: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  <w:t>积极落实党中央、省委、市委、县委重大决策部署，落实中央八项规定精神，省委、市委和县委“约法三章”，杜绝不正之风，着力打造一流营商环境，简化流程实现登记注册便利化，助力中小微企业发展和大众创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（四）在纪律建设方面。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扎实开展“清廉洞口”建设，设立了“清廉建设专栏”，布置了“清廉文化长廊”、设置了“清廉示范岗”，开展警示教育、党纪教育，瞻仰烈士墓、红军桥，红色一日游活动等；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加大干部队伍作风整治力度，对极少数违纪违法行为严肃查处，对3名党员干部进行诫勉谈话，对10名干部进行了提醒谈话。对52名同志进行廉政教育提醒谈话。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120"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03030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强化意识形态工作。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把抓好意识形态工作作为党组班子成员使命和职责。加强政治理论教育。中心组学习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14次，组织全局干部集中学习4次。本年度我局无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意识形态领域重大风险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二、全面落实重点工作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（六）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市场主体倍增工作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一是组织领导有力，工作有序开展。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局组建了工作专班，实行班子成员联点包片制，以基层所为单位开展市场主体倍增工作，建立了日通报、周调度、月考核的工作模式。上半年，党组专题研究市场主体倍增工作8次，局长到基层所实地督导调研2次，开展市场主体倍增工作业务培训2次，召开中层骨干以上专题调度会3次，推动工作有序开展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二是争取上级支持，加强部门联动。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动成立了由县委书记、县长任总召集人的市场主体倍增工作推进机制，提交县政府常务会议研究制定下发了《洞口县优化营商环境促进市场主体高质量发展实施方案》；提交县委常委会研究通过了《关于洞口县市场主体倍增工作的考核办法》，将该项工作纳入县绩效考核。组织召开工作座谈会1次，调度会3次，业务培训1次，加强了与部门、乡镇的工作协调。局长、分管领导专门赴市局协调市场主体倍增工作4次，为我县的市场主体倍增工作营造了良好的发展环境，明确了正确的发展方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市场主体倍增总体工作取得较好成绩。其中，三月份综合排名全市第三，四月份综合排名全市第一，五月份综合排名全市第二，后续不进行排名。截至目前，全县共有市场主体38075户，市场主体数净增8858户，存量为38360户；企业净增4406户，存量为8619户；法人企业净增1478户，存量4122户；“个转企”净增128户，市场主体总数、法人企业数、企业数、个转企数已全面完成全年考核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（七）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知识产权工作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开展“双打”、“雷霆”、“铁拳”、“蓝天”等专项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行动，严厉打击知识产权、商标侵权行为，出动执法人员150余人次，检查市场主体70余户。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假冒专利案件目标13件，完成13件，全面完成任务；专利侵权纠纷案件目标2件，完成2件，全面完成任务；商标侵权案件目标13件，完成13件，全面完成任务；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lang w:val="en-US" w:eastAsia="zh-CN"/>
        </w:rPr>
        <w:t>非正常专利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申请48件，撤回48件，撤回率100%。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走访市场主体140人次，挖掘专利、商标等各项知识产权潜力80件，专利授权240件，商标注册805件，有效发明专利29件，每万人拥有量0.43件，全市排名第12名。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30303"/>
          <w:spacing w:val="0"/>
          <w:sz w:val="32"/>
          <w:szCs w:val="32"/>
          <w:shd w:val="clear" w:color="auto" w:fill="FFFFFF"/>
          <w:lang w:val="en-US" w:eastAsia="zh-CN"/>
        </w:rPr>
        <w:t>三、全面落实激励约束指标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（八）重大产品质量事件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未发生重大产品质量事件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（九）重大服务质量事件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未发生重大服务质量事件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（十）重大药品安全事件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未发生重大药品安全事件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（十一）重大食品安全事件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未发生重大食品安全事件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四、全面落实主体责任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（十二）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标准化和品牌建设工作落实有效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开展雪峰蜜桔标准和品牌讨论会10次，组织雪峰蜜桔地方标准宣贯会2次，培训200多位蜜桔种植户和20家企业，开发11款以雪峰蜜桔为原料的深加工产品；完成雪峰蜜桔标准化体系编制说明和总体框架；向国家知识产权局申请注册12个“雪峰蜜桔”图形商标和“洞口雪峰”的文字商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>帮助19家企业向国家市场监督管理总局申请专用标志使用权（已报国家知识产权局审批）；洞口县花古中学获评湖南省中小学知识产权教育试点学校；开展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“标准化助企纾困促进‘小个专’健康发展”活动被国家市监局和省市监局作为典型案例进行推广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（十三）全力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打造一流营商环境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>全程电子化办件4681件，企业新设4285件，比去年同比增长562.29%，其中全程电子化办件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>2912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>件，企业新设全程电子化比例高达90.9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>%。做好市场主体歇业备案登记工作，理市场主体歇业登记49件。实现“个转企”登记程序一件事一次办。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（十四）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牢牢守住安全底线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动执法检查人员27000余人次，检查和指导督导市场主体合计15845家次，其中农贸市场551家次，商场超市4210家次，餐饮单位6021家次，网络餐饮平台45家次，冷链食品生产经营单位1327家次，药品经营单位1050家次，特种设备相关单位497家次，其他经营单位2144家次，责令整改273家次，关门整顿8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开展食品、药品、特种设备、产品质量等专项整治行动25次，出动执法人员9600余人次，检查市场主体2780余家次，发放宣传资料16000余份，下达责令整改通知书260余份，立案查处117起。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6"/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完成食品及食用农产品抽检2143批次，对不合格40批次依法核查处置到位；</w:t>
      </w:r>
      <w:r>
        <w:rPr>
          <w:rFonts w:hint="eastAsia" w:ascii="仿宋_GB2312" w:eastAsia="仿宋_GB2312"/>
          <w:sz w:val="32"/>
          <w:szCs w:val="32"/>
        </w:rPr>
        <w:t>完成各类农产品定量检测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批次，稻谷风险监测30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批次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对14家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绿色食品</w:t>
      </w:r>
      <w:r>
        <w:rPr>
          <w:rFonts w:hint="eastAsia" w:ascii="仿宋_GB2312" w:eastAsia="仿宋_GB2312"/>
          <w:sz w:val="32"/>
          <w:szCs w:val="32"/>
        </w:rPr>
        <w:t>、有机食品认证企业进行食用农产品承诺达标合格证备案，备案产品34个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Style w:val="16"/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完成2022年食品安全标准跟踪评价工作，报告食源性疾病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病例数321例，</w:t>
      </w:r>
      <w:r>
        <w:rPr>
          <w:rStyle w:val="16"/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均依法处理；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对县城餐饮开展食品监测30份，合格率100%；开展食品化学污染物监测，其中包子、馒头、花卷、面包、油条各10份，稻谷30份，大米50份，合格率100%。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开展长江流域禁渔禁捕专项整治行动，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出动执法人员827人次，检查农贸市场74个次，检查商超渔具店204家次，检查餐饮单位193家次，检查水产品市场经营户13家次，其他食品经营者41家次，网络监测电商平台12家次，平台内经营者38户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组织“3.15”、“宣传周”、“野生蘑菇中毒防控”等大型宣传6次，悬挂宣传横幅100余条，微信公众号上发布宣传30条，抖音公众号发布宣传视频18个，发放宣传资料13000余份，在各级媒体上刊发新闻稿件40余篇。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全市范围内率先完成了对县域范围内120余公里的燃气压力管道检验工作；通过液化石油气瓶安全追溯信息化监管实现了全县16万余个液化石油气瓶从制造到报废的全过程实时监控，截至目前我县液化石油气瓶共完成信息录入的气瓶数量为173390只，覆盖率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十五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严格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落实疫情防控措施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落实进口冷链“湘冷链”追溯系统，共检查进口冷链食品经营单位294家次，其中集中交易市场11家次，冷藏冷冻库222家次，其他单位44家次，责令整改13家次。督促进口冷链从业人员在特护期落实每两天一次核酸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全县184家药品零售企业都使用“湖南省零售药店常态化疫情监测警戒系统”上报“四类药物”销售信息。共出动128人次，抽查督导药店84家，下发整改督导单62份。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对全县28个疫苗接种点进行巡回检查，出动执法人员66人次，检查疫苗接种点22家次，下发责令整改通知3份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贯彻县委县政府“一手抓疫情、一手抓发展”决策部署，与县城主城区2500余户市场主体签订《落实新冠肺炎疫情防控措施承诺书》，督促市场主体严格按着疫情防控要求恢复经营，有力推进县城主城区有序复工复市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十六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）着力实施品牌战略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开展知识产权宣传4次，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进校园活动2次，培训400人次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挂宣传横幅30个、直传版面30个、设立宣传咨询台1个,发放宣传资料5000余份。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19家企业成功取得地理标志专用标志使用授权，授权企业达21家，雪峰蜜桔成为目前我市使用率最高的地标。开展地标溯源码建设，16家企业进入该系统，为我县雪峰蜜桔品牌保护打下坚实基础。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十七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积极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维护市场竞争秩序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维护市场公平交易秩序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。查处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广告类案件7起，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价格类案件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件，计量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清查无证无照经营户114家，立案查处110起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受理消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费者投诉举报共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977件，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均做到及时受理，及时办结和回复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积极开展消费调解，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成功调解消费纠纷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件，共挽回经济损失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26.99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提供档案查询680户次，司法协助14起。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县党代会代表信用审查12000余人次，32人资格受限。配合政法队伍整顿查询信息2400余人次。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积极推进双随机一公开工作。制定或接收的抽查任务共35项，已完成35项，应检查的对象数共1362户，已录入检查结果1362户，已公示检查结果1362户，公示率100%。指导市场监管领域成员单位制定并完成抽查工作19次，指导五大牵头部门完成跨部门联合抽查5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推动“明厨亮灶”、</w:t>
      </w:r>
      <w:r>
        <w:rPr>
          <w:rStyle w:val="16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食品安全综合监管平台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等“互联网+”监管平台建立。</w:t>
      </w:r>
      <w:r>
        <w:rPr>
          <w:rStyle w:val="16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87家学校食堂实现了“明厨亮灶”；食品安全综合监管平台监督检查覆盖率完成98.75%，发现风险问题数341个，其中立案41起，结案41起；责令改正300起，整改到位297起，处置完成率99%。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（十八）大力推进乡村振兴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从中层骨干和后备干部中选派了3支乡村振兴工作队共8名队员开展驻村工作，每个村明确一名党组成员作为联点领导，切实做好驻村保障服务。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（十九）积极创建省级食品安全示范县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开展省级食品安全示范创建，获得2022年度食品安全真抓实干督查激励。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迅速贯彻落实食品安全“两个责任”工作机制。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完善组织机构，县乡两级成立工作专班，建立“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一二三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”工作联动机制。严格精准分级，强化提及管理，对部分食品生产经营户进行动态调整，提档提级。以点带面，将江口镇作为全县食品安全建设乡镇示范点，示范带动各乡镇食品安全工作有序开展。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创新工作方式，制作包保手册。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截至10月22日，全县完成包保主体级别代码录入4811个，完成行政区划代码录入4811个，综合完成进度100%，排名全市第一。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全市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范围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率先</w:t>
      </w:r>
      <w:r>
        <w:rPr>
          <w:rStyle w:val="16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推行农村聚餐申报系统，聚餐备案工作从线下搬到线上，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申报、审核、监管等所有流程都通过微信小程序完成，实现“事前申报、过程监管、事后追溯”的全程管理</w:t>
      </w:r>
      <w:r>
        <w:rPr>
          <w:rStyle w:val="16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推行</w:t>
      </w:r>
      <w:r>
        <w:rPr>
          <w:rStyle w:val="16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农村聚餐申报系统以来，没有发生一起农村聚餐食品中毒事件。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（一）预算执行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根据本次预算评价情况，存在预算绩效申报时，编制的绩效目标不具体，绩效目标未完全细化分解为具体工作任务，部分绩效指标不清晰、可衡量性差。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（二）内部管理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基层执法力量薄弱。各基层市场监管所普遍存在人员少、年龄偏大、知识结构不合理、执法能力与监管任务不相匹配等问题，与全面履行市场监管职能的要求相距甚远，解决需要一个长期的过程。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技术支撑手段有待加强。由于专业技术人员缺乏，经费短缺，检验检测中心作用发挥有限，技术手段的滞后影响了行政执法效能的有效提升。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（三）经费保障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经费保障有待加强。一方面限于县财力，财政预算增幅缓慢，加上“放、管、服”改革、经济整体下行等因素的影响，非税收入大幅降低，另一方面食品、药品、产商品检验检测、行政执法、质量强县、知识产权保护、法律宣传等日常监管成本大幅提升，两者矛盾导致工作推进受到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八、下一步改进措施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（一）请财政根据实际情况，提高年初部门预算额度。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（二）进一步堆满绩效目标编制。在编制资金绩效目标时要求指向明确、细化量化、合理可行、相应匹配。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（三）规范账务处理，提高财务信息质量。严格按照《会计法》、《行政事业单位会计制度》、《行政事业单位财务规则》等规定，结合实际情况，科学设置支出科目，规范财务核算，完整披露相关信息。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十、</w:t>
      </w:r>
      <w:r>
        <w:rPr>
          <w:rFonts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3.项目支出绩效自评表（一个项目支出一张表）</w:t>
      </w:r>
    </w:p>
    <w:p>
      <w:pPr>
        <w:ind w:firstLine="5250" w:firstLineChars="1750"/>
        <w:rPr>
          <w:sz w:val="30"/>
          <w:szCs w:val="30"/>
        </w:rPr>
      </w:pPr>
    </w:p>
    <w:p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E36D8"/>
    <w:multiLevelType w:val="singleLevel"/>
    <w:tmpl w:val="E77E3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2F5A57"/>
    <w:multiLevelType w:val="multilevel"/>
    <w:tmpl w:val="7D2F5A57"/>
    <w:lvl w:ilvl="0" w:tentative="0">
      <w:start w:val="1"/>
      <w:numFmt w:val="decimal"/>
      <w:pStyle w:val="17"/>
      <w:lvlText w:val="（%1）"/>
      <w:lvlJc w:val="left"/>
      <w:pPr>
        <w:tabs>
          <w:tab w:val="left" w:pos="1200"/>
        </w:tabs>
        <w:ind w:left="1200" w:hanging="720"/>
      </w:pPr>
    </w:lvl>
    <w:lvl w:ilvl="1" w:tentative="0">
      <w:start w:val="1"/>
      <w:numFmt w:val="lowerLetter"/>
      <w:lvlText w:val="%1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1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1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1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Dc3ZjBmOTdlYjgwMTQzMGQyMDY2OTkyNTIyMTYifQ=="/>
  </w:docVars>
  <w:rsids>
    <w:rsidRoot w:val="009D613C"/>
    <w:rsid w:val="00027F1A"/>
    <w:rsid w:val="000361B4"/>
    <w:rsid w:val="0006032F"/>
    <w:rsid w:val="00067F00"/>
    <w:rsid w:val="000855EC"/>
    <w:rsid w:val="00100697"/>
    <w:rsid w:val="00101333"/>
    <w:rsid w:val="001051CA"/>
    <w:rsid w:val="001052C2"/>
    <w:rsid w:val="0011465E"/>
    <w:rsid w:val="00115316"/>
    <w:rsid w:val="001336D2"/>
    <w:rsid w:val="00134577"/>
    <w:rsid w:val="00176622"/>
    <w:rsid w:val="001779A0"/>
    <w:rsid w:val="00183D23"/>
    <w:rsid w:val="001A2BBA"/>
    <w:rsid w:val="001C41E5"/>
    <w:rsid w:val="001D0EFA"/>
    <w:rsid w:val="001F63E4"/>
    <w:rsid w:val="002210D5"/>
    <w:rsid w:val="002229D7"/>
    <w:rsid w:val="00233F0B"/>
    <w:rsid w:val="00244BCF"/>
    <w:rsid w:val="00250218"/>
    <w:rsid w:val="00282E96"/>
    <w:rsid w:val="00296154"/>
    <w:rsid w:val="002A325F"/>
    <w:rsid w:val="002A6DA0"/>
    <w:rsid w:val="002C795D"/>
    <w:rsid w:val="00305D60"/>
    <w:rsid w:val="00346C6D"/>
    <w:rsid w:val="0036040E"/>
    <w:rsid w:val="00392783"/>
    <w:rsid w:val="003E6384"/>
    <w:rsid w:val="003F1158"/>
    <w:rsid w:val="003F22B0"/>
    <w:rsid w:val="00425984"/>
    <w:rsid w:val="0042626B"/>
    <w:rsid w:val="004418EB"/>
    <w:rsid w:val="00460D96"/>
    <w:rsid w:val="00460E26"/>
    <w:rsid w:val="004671B0"/>
    <w:rsid w:val="00467F58"/>
    <w:rsid w:val="004B608C"/>
    <w:rsid w:val="004B71E6"/>
    <w:rsid w:val="004C0E6C"/>
    <w:rsid w:val="004D491E"/>
    <w:rsid w:val="00507995"/>
    <w:rsid w:val="00515144"/>
    <w:rsid w:val="0051565D"/>
    <w:rsid w:val="0052077E"/>
    <w:rsid w:val="00527766"/>
    <w:rsid w:val="00554429"/>
    <w:rsid w:val="0055574E"/>
    <w:rsid w:val="005737B9"/>
    <w:rsid w:val="00573E1B"/>
    <w:rsid w:val="005C0E0E"/>
    <w:rsid w:val="005C1754"/>
    <w:rsid w:val="005C6E8C"/>
    <w:rsid w:val="005D15FD"/>
    <w:rsid w:val="005D6347"/>
    <w:rsid w:val="00614C0E"/>
    <w:rsid w:val="00633FF3"/>
    <w:rsid w:val="006503F4"/>
    <w:rsid w:val="00673360"/>
    <w:rsid w:val="0069055B"/>
    <w:rsid w:val="006B2A91"/>
    <w:rsid w:val="006B4133"/>
    <w:rsid w:val="006E61A1"/>
    <w:rsid w:val="00702AD8"/>
    <w:rsid w:val="00704A4D"/>
    <w:rsid w:val="007171E9"/>
    <w:rsid w:val="007225D9"/>
    <w:rsid w:val="0072309A"/>
    <w:rsid w:val="00726F7C"/>
    <w:rsid w:val="00761D50"/>
    <w:rsid w:val="00763889"/>
    <w:rsid w:val="008323C5"/>
    <w:rsid w:val="00882A91"/>
    <w:rsid w:val="00897FF8"/>
    <w:rsid w:val="008A4115"/>
    <w:rsid w:val="008B7C21"/>
    <w:rsid w:val="008C57E4"/>
    <w:rsid w:val="008C7064"/>
    <w:rsid w:val="008D259B"/>
    <w:rsid w:val="008D3AAE"/>
    <w:rsid w:val="008E13A0"/>
    <w:rsid w:val="008F1BEC"/>
    <w:rsid w:val="008F5728"/>
    <w:rsid w:val="00905F5C"/>
    <w:rsid w:val="00916F43"/>
    <w:rsid w:val="00924A5D"/>
    <w:rsid w:val="00932D3A"/>
    <w:rsid w:val="00972E2E"/>
    <w:rsid w:val="00983C8C"/>
    <w:rsid w:val="009B744A"/>
    <w:rsid w:val="009B7F3E"/>
    <w:rsid w:val="009D2A6D"/>
    <w:rsid w:val="009D613C"/>
    <w:rsid w:val="009E28AC"/>
    <w:rsid w:val="009F2B80"/>
    <w:rsid w:val="00A00385"/>
    <w:rsid w:val="00A042F9"/>
    <w:rsid w:val="00A07F22"/>
    <w:rsid w:val="00A446D0"/>
    <w:rsid w:val="00A72F48"/>
    <w:rsid w:val="00AD19F4"/>
    <w:rsid w:val="00AE36B1"/>
    <w:rsid w:val="00AF3156"/>
    <w:rsid w:val="00B02667"/>
    <w:rsid w:val="00B0382B"/>
    <w:rsid w:val="00B155E1"/>
    <w:rsid w:val="00B15C79"/>
    <w:rsid w:val="00BA0BA9"/>
    <w:rsid w:val="00BA3273"/>
    <w:rsid w:val="00BA66C5"/>
    <w:rsid w:val="00BB0471"/>
    <w:rsid w:val="00BC7371"/>
    <w:rsid w:val="00BD3569"/>
    <w:rsid w:val="00BD4AC1"/>
    <w:rsid w:val="00C17897"/>
    <w:rsid w:val="00C270CA"/>
    <w:rsid w:val="00C85E1C"/>
    <w:rsid w:val="00CA4CC0"/>
    <w:rsid w:val="00CE46D1"/>
    <w:rsid w:val="00CF784A"/>
    <w:rsid w:val="00D04239"/>
    <w:rsid w:val="00D06B92"/>
    <w:rsid w:val="00D077D6"/>
    <w:rsid w:val="00D36EAD"/>
    <w:rsid w:val="00D45AF8"/>
    <w:rsid w:val="00D518F8"/>
    <w:rsid w:val="00D51F89"/>
    <w:rsid w:val="00D54AC3"/>
    <w:rsid w:val="00D95831"/>
    <w:rsid w:val="00DC64EB"/>
    <w:rsid w:val="00DC687F"/>
    <w:rsid w:val="00DD07B4"/>
    <w:rsid w:val="00DE01E7"/>
    <w:rsid w:val="00DE351A"/>
    <w:rsid w:val="00DE74D6"/>
    <w:rsid w:val="00DF4C77"/>
    <w:rsid w:val="00E2654B"/>
    <w:rsid w:val="00E3539A"/>
    <w:rsid w:val="00E62608"/>
    <w:rsid w:val="00E6780C"/>
    <w:rsid w:val="00E92D05"/>
    <w:rsid w:val="00E975B4"/>
    <w:rsid w:val="00EB73CA"/>
    <w:rsid w:val="00F0552F"/>
    <w:rsid w:val="00F12408"/>
    <w:rsid w:val="00F132BD"/>
    <w:rsid w:val="00F14BED"/>
    <w:rsid w:val="00F229B3"/>
    <w:rsid w:val="00F343B7"/>
    <w:rsid w:val="00F4058F"/>
    <w:rsid w:val="00F6067D"/>
    <w:rsid w:val="00F9144A"/>
    <w:rsid w:val="00F94A0F"/>
    <w:rsid w:val="00F95CA8"/>
    <w:rsid w:val="00FA4A7C"/>
    <w:rsid w:val="00FC0DD8"/>
    <w:rsid w:val="00FD5F5B"/>
    <w:rsid w:val="00FE3C86"/>
    <w:rsid w:val="00FF3B5C"/>
    <w:rsid w:val="05103039"/>
    <w:rsid w:val="06852909"/>
    <w:rsid w:val="071F0864"/>
    <w:rsid w:val="079052BE"/>
    <w:rsid w:val="08030185"/>
    <w:rsid w:val="122356AC"/>
    <w:rsid w:val="13954387"/>
    <w:rsid w:val="15CE592F"/>
    <w:rsid w:val="17215F32"/>
    <w:rsid w:val="17935082"/>
    <w:rsid w:val="1A5C26E5"/>
    <w:rsid w:val="1BF12377"/>
    <w:rsid w:val="1C595149"/>
    <w:rsid w:val="1DAE0917"/>
    <w:rsid w:val="20825C93"/>
    <w:rsid w:val="21C83B7A"/>
    <w:rsid w:val="27A504B9"/>
    <w:rsid w:val="32F522F5"/>
    <w:rsid w:val="34237B70"/>
    <w:rsid w:val="34AE6BFF"/>
    <w:rsid w:val="37597386"/>
    <w:rsid w:val="37D27644"/>
    <w:rsid w:val="3A233BEC"/>
    <w:rsid w:val="3AAB6280"/>
    <w:rsid w:val="3B462B12"/>
    <w:rsid w:val="3E4203B8"/>
    <w:rsid w:val="3EDC61DF"/>
    <w:rsid w:val="426C3C56"/>
    <w:rsid w:val="436B3466"/>
    <w:rsid w:val="44E73A68"/>
    <w:rsid w:val="48846063"/>
    <w:rsid w:val="4DC64B62"/>
    <w:rsid w:val="4FBA24A4"/>
    <w:rsid w:val="50630D8E"/>
    <w:rsid w:val="50772144"/>
    <w:rsid w:val="50BE6F9A"/>
    <w:rsid w:val="592F5CB1"/>
    <w:rsid w:val="5C0C052C"/>
    <w:rsid w:val="5ED66BCF"/>
    <w:rsid w:val="62F86CEA"/>
    <w:rsid w:val="65E36256"/>
    <w:rsid w:val="6817628E"/>
    <w:rsid w:val="68E0325C"/>
    <w:rsid w:val="6AB97AD1"/>
    <w:rsid w:val="6DB147B6"/>
    <w:rsid w:val="6E4B7B2E"/>
    <w:rsid w:val="6F9B1553"/>
    <w:rsid w:val="72C65CF8"/>
    <w:rsid w:val="73532145"/>
    <w:rsid w:val="746A2AF7"/>
    <w:rsid w:val="77AB2709"/>
    <w:rsid w:val="78216CB5"/>
    <w:rsid w:val="7C9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2"/>
      <w:ind w:left="120"/>
    </w:pPr>
    <w:rPr>
      <w:rFonts w:hint="eastAsia" w:ascii="仿宋_GB2312" w:hAnsi="仿宋_GB2312" w:eastAsia="仿宋_GB2312" w:cs="宋体"/>
      <w:sz w:val="3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  <w:style w:type="paragraph" w:customStyle="1" w:styleId="15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6">
    <w:name w:val="NormalCharacter"/>
    <w:link w:val="17"/>
    <w:qFormat/>
    <w:uiPriority w:val="0"/>
    <w:rPr>
      <w:rFonts w:ascii="仿宋_GB2312" w:eastAsia="仿宋_GB2312" w:cs="宋体"/>
      <w:bCs/>
      <w:kern w:val="2"/>
      <w:sz w:val="28"/>
      <w:szCs w:val="28"/>
      <w:lang w:val="en-US" w:eastAsia="zh-CN" w:bidi="ar-SA"/>
    </w:rPr>
  </w:style>
  <w:style w:type="paragraph" w:customStyle="1" w:styleId="17">
    <w:name w:val="UserStyle_0"/>
    <w:basedOn w:val="1"/>
    <w:link w:val="16"/>
    <w:qFormat/>
    <w:uiPriority w:val="0"/>
    <w:pPr>
      <w:numPr>
        <w:ilvl w:val="0"/>
        <w:numId w:val="1"/>
      </w:numPr>
      <w:jc w:val="both"/>
      <w:textAlignment w:val="baseline"/>
    </w:pPr>
    <w:rPr>
      <w:rFonts w:ascii="仿宋_GB2312" w:eastAsia="仿宋_GB2312" w:cs="宋体"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8115</Words>
  <Characters>8494</Characters>
  <Lines>52</Lines>
  <Paragraphs>14</Paragraphs>
  <TotalTime>1</TotalTime>
  <ScaleCrop>false</ScaleCrop>
  <LinksUpToDate>false</LinksUpToDate>
  <CharactersWithSpaces>8508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2022-07-08T01:19:00Z</dcterms:created>
  <dc:creator>Administrator</dc:creator>
  <cp:lastModifiedBy>Administrator</cp:lastModifiedBy>
  <cp:lastPrinted>2022-07-11T03:15:00Z</cp:lastPrinted>
  <dcterms:modified xsi:type="dcterms:W3CDTF">2023-04-20T05:36:13Z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30F8AD852141499B96738CFC8EE949BC_12</vt:lpwstr>
  </property>
</Properties>
</file>