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77C9">
      <w:pPr>
        <w:keepNext w:val="0"/>
        <w:keepLines w:val="0"/>
        <w:widowControl/>
        <w:suppressLineNumbers w:val="0"/>
        <w:spacing w:before="0" w:beforeAutospacing="0" w:after="2" w:afterAutospacing="0"/>
        <w:ind w:left="0" w:right="0" w:firstLine="0"/>
        <w:jc w:val="center"/>
        <w:rPr>
          <w:rFonts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48"/>
          <w:szCs w:val="48"/>
          <w:lang w:val="en-US" w:eastAsia="zh-CN" w:bidi="ar"/>
        </w:rPr>
        <w:t>洞口县人民政府文昌街道办事处2025年部门预算公开说明</w:t>
      </w:r>
      <w:r>
        <w:rPr>
          <w:rFonts w:hint="eastAsia" w:ascii="等线" w:hAnsi="等线" w:eastAsia="等线" w:cs="等线"/>
          <w:i w:val="0"/>
          <w:caps w:val="0"/>
          <w:color w:val="000000"/>
          <w:spacing w:val="0"/>
          <w:kern w:val="0"/>
          <w:sz w:val="21"/>
          <w:szCs w:val="21"/>
          <w:lang w:val="en-US" w:eastAsia="zh-CN" w:bidi="ar"/>
        </w:rPr>
        <w:t> </w:t>
      </w:r>
    </w:p>
    <w:p w14:paraId="0564D647">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r>
        <w:rPr>
          <w:rFonts w:hint="eastAsia" w:ascii="等线" w:hAnsi="等线" w:eastAsia="等线" w:cs="等线"/>
          <w:i w:val="0"/>
          <w:caps w:val="0"/>
          <w:color w:val="000000"/>
          <w:spacing w:val="0"/>
          <w:kern w:val="0"/>
          <w:sz w:val="21"/>
          <w:szCs w:val="21"/>
          <w:lang w:val="en-US" w:eastAsia="zh-CN" w:bidi="ar"/>
        </w:rPr>
        <w:t> </w:t>
      </w:r>
    </w:p>
    <w:p w14:paraId="75B84326">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6"/>
          <w:szCs w:val="36"/>
          <w:lang w:val="en-US" w:eastAsia="zh-CN" w:bidi="ar"/>
        </w:rPr>
        <w:t>目 录</w:t>
      </w:r>
      <w:r>
        <w:rPr>
          <w:rFonts w:hint="eastAsia" w:ascii="等线" w:hAnsi="等线" w:eastAsia="等线" w:cs="等线"/>
          <w:i w:val="0"/>
          <w:caps w:val="0"/>
          <w:color w:val="000000"/>
          <w:spacing w:val="0"/>
          <w:kern w:val="0"/>
          <w:sz w:val="21"/>
          <w:szCs w:val="21"/>
          <w:lang w:val="en-US" w:eastAsia="zh-CN" w:bidi="ar"/>
        </w:rPr>
        <w:t> </w:t>
      </w:r>
    </w:p>
    <w:p w14:paraId="48AF5E9E">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caps w:val="0"/>
          <w:color w:val="000000"/>
          <w:spacing w:val="0"/>
          <w:sz w:val="21"/>
          <w:szCs w:val="21"/>
        </w:rPr>
      </w:pPr>
      <w:r>
        <w:rPr>
          <w:rFonts w:hint="eastAsia" w:ascii="等线" w:hAnsi="等线" w:eastAsia="等线" w:cs="等线"/>
          <w:i w:val="0"/>
          <w:caps w:val="0"/>
          <w:color w:val="000000"/>
          <w:spacing w:val="0"/>
          <w:kern w:val="0"/>
          <w:sz w:val="21"/>
          <w:szCs w:val="21"/>
          <w:lang w:val="en-US" w:eastAsia="zh-CN" w:bidi="ar"/>
        </w:rPr>
        <w:t> </w:t>
      </w:r>
    </w:p>
    <w:p w14:paraId="41EAAE4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等线" w:hAnsi="等线" w:eastAsia="等线" w:cs="等线"/>
          <w:i w:val="0"/>
          <w:caps w:val="0"/>
          <w:color w:val="000000"/>
          <w:spacing w:val="0"/>
          <w:kern w:val="0"/>
          <w:sz w:val="21"/>
          <w:szCs w:val="21"/>
          <w:lang w:val="en-US" w:eastAsia="zh-CN" w:bidi="ar"/>
        </w:rPr>
        <w:t> </w:t>
      </w:r>
    </w:p>
    <w:p w14:paraId="68C22BFE">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等线" w:hAnsi="等线" w:eastAsia="等线" w:cs="等线"/>
          <w:i w:val="0"/>
          <w:caps w:val="0"/>
          <w:color w:val="000000"/>
          <w:spacing w:val="0"/>
          <w:kern w:val="0"/>
          <w:sz w:val="21"/>
          <w:szCs w:val="21"/>
          <w:lang w:val="en-US" w:eastAsia="zh-CN" w:bidi="ar"/>
        </w:rPr>
        <w:t> </w:t>
      </w:r>
    </w:p>
    <w:p w14:paraId="0FE23B71">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第一部分 2025年部门预算说明</w:t>
      </w:r>
      <w:r>
        <w:rPr>
          <w:rFonts w:hint="eastAsia" w:ascii="等线" w:hAnsi="等线" w:eastAsia="等线" w:cs="等线"/>
          <w:i w:val="0"/>
          <w:caps w:val="0"/>
          <w:color w:val="000000"/>
          <w:spacing w:val="0"/>
          <w:kern w:val="0"/>
          <w:sz w:val="21"/>
          <w:szCs w:val="21"/>
          <w:lang w:val="en-US" w:eastAsia="zh-CN" w:bidi="ar"/>
        </w:rPr>
        <w:t> </w:t>
      </w:r>
    </w:p>
    <w:p w14:paraId="248F46C9">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一、部门基本概况</w:t>
      </w:r>
      <w:r>
        <w:rPr>
          <w:rFonts w:hint="eastAsia" w:ascii="等线" w:hAnsi="等线" w:eastAsia="等线" w:cs="等线"/>
          <w:i w:val="0"/>
          <w:caps w:val="0"/>
          <w:color w:val="000000"/>
          <w:spacing w:val="0"/>
          <w:kern w:val="0"/>
          <w:sz w:val="21"/>
          <w:szCs w:val="21"/>
          <w:lang w:val="en-US" w:eastAsia="zh-CN" w:bidi="ar"/>
        </w:rPr>
        <w:t> </w:t>
      </w:r>
    </w:p>
    <w:p w14:paraId="04A2926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（一）职能职责</w:t>
      </w:r>
      <w:r>
        <w:rPr>
          <w:rFonts w:hint="eastAsia" w:ascii="等线" w:hAnsi="等线" w:eastAsia="等线" w:cs="等线"/>
          <w:i w:val="0"/>
          <w:caps w:val="0"/>
          <w:color w:val="000000"/>
          <w:spacing w:val="0"/>
          <w:kern w:val="0"/>
          <w:sz w:val="21"/>
          <w:szCs w:val="21"/>
          <w:lang w:val="en-US" w:eastAsia="zh-CN" w:bidi="ar"/>
        </w:rPr>
        <w:t> </w:t>
      </w:r>
    </w:p>
    <w:p w14:paraId="538242B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（二）机构设置</w:t>
      </w:r>
      <w:r>
        <w:rPr>
          <w:rFonts w:hint="eastAsia" w:ascii="等线" w:hAnsi="等线" w:eastAsia="等线" w:cs="等线"/>
          <w:i w:val="0"/>
          <w:caps w:val="0"/>
          <w:color w:val="000000"/>
          <w:spacing w:val="0"/>
          <w:kern w:val="0"/>
          <w:sz w:val="21"/>
          <w:szCs w:val="21"/>
          <w:lang w:val="en-US" w:eastAsia="zh-CN" w:bidi="ar"/>
        </w:rPr>
        <w:t> </w:t>
      </w:r>
    </w:p>
    <w:p w14:paraId="02DF2199">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二、部门预算单位构成</w:t>
      </w:r>
      <w:r>
        <w:rPr>
          <w:rFonts w:hint="eastAsia" w:ascii="等线" w:hAnsi="等线" w:eastAsia="等线" w:cs="等线"/>
          <w:i w:val="0"/>
          <w:caps w:val="0"/>
          <w:color w:val="000000"/>
          <w:spacing w:val="0"/>
          <w:kern w:val="0"/>
          <w:sz w:val="21"/>
          <w:szCs w:val="21"/>
          <w:lang w:val="en-US" w:eastAsia="zh-CN" w:bidi="ar"/>
        </w:rPr>
        <w:t> </w:t>
      </w:r>
    </w:p>
    <w:p w14:paraId="7A436A22">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三、部门收支总体情况</w:t>
      </w:r>
      <w:r>
        <w:rPr>
          <w:rFonts w:hint="eastAsia" w:ascii="等线" w:hAnsi="等线" w:eastAsia="等线" w:cs="等线"/>
          <w:i w:val="0"/>
          <w:caps w:val="0"/>
          <w:color w:val="000000"/>
          <w:spacing w:val="0"/>
          <w:kern w:val="0"/>
          <w:sz w:val="21"/>
          <w:szCs w:val="21"/>
          <w:lang w:val="en-US" w:eastAsia="zh-CN" w:bidi="ar"/>
        </w:rPr>
        <w:t> </w:t>
      </w:r>
    </w:p>
    <w:p w14:paraId="40DA526C">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（一）收入预算</w:t>
      </w:r>
      <w:r>
        <w:rPr>
          <w:rFonts w:hint="eastAsia" w:ascii="等线" w:hAnsi="等线" w:eastAsia="等线" w:cs="等线"/>
          <w:i w:val="0"/>
          <w:caps w:val="0"/>
          <w:color w:val="000000"/>
          <w:spacing w:val="0"/>
          <w:kern w:val="0"/>
          <w:sz w:val="21"/>
          <w:szCs w:val="21"/>
          <w:lang w:val="en-US" w:eastAsia="zh-CN" w:bidi="ar"/>
        </w:rPr>
        <w:t> </w:t>
      </w:r>
    </w:p>
    <w:p w14:paraId="5E013C02">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（二）支出预算</w:t>
      </w:r>
      <w:r>
        <w:rPr>
          <w:rFonts w:hint="eastAsia" w:ascii="等线" w:hAnsi="等线" w:eastAsia="等线" w:cs="等线"/>
          <w:i w:val="0"/>
          <w:caps w:val="0"/>
          <w:color w:val="000000"/>
          <w:spacing w:val="0"/>
          <w:kern w:val="0"/>
          <w:sz w:val="21"/>
          <w:szCs w:val="21"/>
          <w:lang w:val="en-US" w:eastAsia="zh-CN" w:bidi="ar"/>
        </w:rPr>
        <w:t> </w:t>
      </w:r>
    </w:p>
    <w:p w14:paraId="2ECBA40D">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四、一般公共预算拨款支出</w:t>
      </w:r>
      <w:r>
        <w:rPr>
          <w:rFonts w:hint="eastAsia" w:ascii="等线" w:hAnsi="等线" w:eastAsia="等线" w:cs="等线"/>
          <w:i w:val="0"/>
          <w:caps w:val="0"/>
          <w:color w:val="000000"/>
          <w:spacing w:val="0"/>
          <w:kern w:val="0"/>
          <w:sz w:val="21"/>
          <w:szCs w:val="21"/>
          <w:lang w:val="en-US" w:eastAsia="zh-CN" w:bidi="ar"/>
        </w:rPr>
        <w:t> </w:t>
      </w:r>
    </w:p>
    <w:p w14:paraId="2D00A51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（一）基本支出</w:t>
      </w:r>
      <w:r>
        <w:rPr>
          <w:rFonts w:hint="eastAsia" w:ascii="等线" w:hAnsi="等线" w:eastAsia="等线" w:cs="等线"/>
          <w:i w:val="0"/>
          <w:caps w:val="0"/>
          <w:color w:val="000000"/>
          <w:spacing w:val="0"/>
          <w:kern w:val="0"/>
          <w:sz w:val="21"/>
          <w:szCs w:val="21"/>
          <w:lang w:val="en-US" w:eastAsia="zh-CN" w:bidi="ar"/>
        </w:rPr>
        <w:t> </w:t>
      </w:r>
    </w:p>
    <w:p w14:paraId="54A0E1F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（二）项目支出</w:t>
      </w:r>
      <w:r>
        <w:rPr>
          <w:rFonts w:hint="eastAsia" w:ascii="等线" w:hAnsi="等线" w:eastAsia="等线" w:cs="等线"/>
          <w:i w:val="0"/>
          <w:caps w:val="0"/>
          <w:color w:val="000000"/>
          <w:spacing w:val="0"/>
          <w:kern w:val="0"/>
          <w:sz w:val="21"/>
          <w:szCs w:val="21"/>
          <w:lang w:val="en-US" w:eastAsia="zh-CN" w:bidi="ar"/>
        </w:rPr>
        <w:t> </w:t>
      </w:r>
    </w:p>
    <w:p w14:paraId="05BB869C">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五、政府性基金预算支出</w:t>
      </w:r>
      <w:r>
        <w:rPr>
          <w:rFonts w:hint="eastAsia" w:ascii="等线" w:hAnsi="等线" w:eastAsia="等线" w:cs="等线"/>
          <w:i w:val="0"/>
          <w:caps w:val="0"/>
          <w:color w:val="000000"/>
          <w:spacing w:val="0"/>
          <w:kern w:val="0"/>
          <w:sz w:val="21"/>
          <w:szCs w:val="21"/>
          <w:lang w:val="en-US" w:eastAsia="zh-CN" w:bidi="ar"/>
        </w:rPr>
        <w:t> </w:t>
      </w:r>
    </w:p>
    <w:p w14:paraId="7F8822A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六、其他重要事项的情况说明</w:t>
      </w:r>
      <w:r>
        <w:rPr>
          <w:rFonts w:hint="eastAsia" w:ascii="等线" w:hAnsi="等线" w:eastAsia="等线" w:cs="等线"/>
          <w:i w:val="0"/>
          <w:caps w:val="0"/>
          <w:color w:val="000000"/>
          <w:spacing w:val="0"/>
          <w:kern w:val="0"/>
          <w:sz w:val="21"/>
          <w:szCs w:val="21"/>
          <w:lang w:val="en-US" w:eastAsia="zh-CN" w:bidi="ar"/>
        </w:rPr>
        <w:t> </w:t>
      </w:r>
    </w:p>
    <w:p w14:paraId="6E3EA845">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（一）机关运行经费</w:t>
      </w:r>
      <w:r>
        <w:rPr>
          <w:rFonts w:hint="eastAsia" w:ascii="等线" w:hAnsi="等线" w:eastAsia="等线" w:cs="等线"/>
          <w:i w:val="0"/>
          <w:caps w:val="0"/>
          <w:color w:val="000000"/>
          <w:spacing w:val="0"/>
          <w:kern w:val="0"/>
          <w:sz w:val="21"/>
          <w:szCs w:val="21"/>
          <w:lang w:val="en-US" w:eastAsia="zh-CN" w:bidi="ar"/>
        </w:rPr>
        <w:t> </w:t>
      </w:r>
    </w:p>
    <w:p w14:paraId="4CC1A268">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（二）“三公”经费预算</w:t>
      </w:r>
      <w:r>
        <w:rPr>
          <w:rFonts w:hint="eastAsia" w:ascii="等线" w:hAnsi="等线" w:eastAsia="等线" w:cs="等线"/>
          <w:i w:val="0"/>
          <w:caps w:val="0"/>
          <w:color w:val="000000"/>
          <w:spacing w:val="0"/>
          <w:kern w:val="0"/>
          <w:sz w:val="21"/>
          <w:szCs w:val="21"/>
          <w:lang w:val="en-US" w:eastAsia="zh-CN" w:bidi="ar"/>
        </w:rPr>
        <w:t> </w:t>
      </w:r>
    </w:p>
    <w:p w14:paraId="59D8610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（三）一般性支出情况</w:t>
      </w:r>
      <w:r>
        <w:rPr>
          <w:rFonts w:hint="eastAsia" w:ascii="等线" w:hAnsi="等线" w:eastAsia="等线" w:cs="等线"/>
          <w:i w:val="0"/>
          <w:caps w:val="0"/>
          <w:color w:val="000000"/>
          <w:spacing w:val="0"/>
          <w:kern w:val="0"/>
          <w:sz w:val="21"/>
          <w:szCs w:val="21"/>
          <w:lang w:val="en-US" w:eastAsia="zh-CN" w:bidi="ar"/>
        </w:rPr>
        <w:t> </w:t>
      </w:r>
    </w:p>
    <w:p w14:paraId="548EBE26">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（四）政府采购情况</w:t>
      </w:r>
      <w:r>
        <w:rPr>
          <w:rFonts w:hint="eastAsia" w:ascii="等线" w:hAnsi="等线" w:eastAsia="等线" w:cs="等线"/>
          <w:i w:val="0"/>
          <w:caps w:val="0"/>
          <w:color w:val="000000"/>
          <w:spacing w:val="0"/>
          <w:kern w:val="0"/>
          <w:sz w:val="21"/>
          <w:szCs w:val="21"/>
          <w:lang w:val="en-US" w:eastAsia="zh-CN" w:bidi="ar"/>
        </w:rPr>
        <w:t> </w:t>
      </w:r>
    </w:p>
    <w:p w14:paraId="0972CF9D">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（五）国有资产占用使用及新增资产配置情况</w:t>
      </w:r>
      <w:r>
        <w:rPr>
          <w:rFonts w:hint="eastAsia" w:ascii="等线" w:hAnsi="等线" w:eastAsia="等线" w:cs="等线"/>
          <w:i w:val="0"/>
          <w:caps w:val="0"/>
          <w:color w:val="000000"/>
          <w:spacing w:val="0"/>
          <w:kern w:val="0"/>
          <w:sz w:val="21"/>
          <w:szCs w:val="21"/>
          <w:lang w:val="en-US" w:eastAsia="zh-CN" w:bidi="ar"/>
        </w:rPr>
        <w:t> </w:t>
      </w:r>
    </w:p>
    <w:p w14:paraId="56CCB048">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（六）部门整体支出、单位项目支出、重点（专项）项目支出预算绩效目标情况说明</w:t>
      </w:r>
      <w:r>
        <w:rPr>
          <w:rFonts w:hint="eastAsia" w:ascii="等线" w:hAnsi="等线" w:eastAsia="等线" w:cs="等线"/>
          <w:i w:val="0"/>
          <w:caps w:val="0"/>
          <w:color w:val="000000"/>
          <w:spacing w:val="0"/>
          <w:kern w:val="0"/>
          <w:sz w:val="21"/>
          <w:szCs w:val="21"/>
          <w:lang w:val="en-US" w:eastAsia="zh-CN" w:bidi="ar"/>
        </w:rPr>
        <w:t> </w:t>
      </w:r>
    </w:p>
    <w:p w14:paraId="63516B6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七、名词解释</w:t>
      </w:r>
      <w:r>
        <w:rPr>
          <w:rFonts w:hint="eastAsia" w:ascii="等线" w:hAnsi="等线" w:eastAsia="等线" w:cs="等线"/>
          <w:i w:val="0"/>
          <w:caps w:val="0"/>
          <w:color w:val="000000"/>
          <w:spacing w:val="0"/>
          <w:kern w:val="0"/>
          <w:sz w:val="21"/>
          <w:szCs w:val="21"/>
          <w:lang w:val="en-US" w:eastAsia="zh-CN" w:bidi="ar"/>
        </w:rPr>
        <w:t> </w:t>
      </w:r>
    </w:p>
    <w:p w14:paraId="08ACD4D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第二部分 2025年部门预算表</w:t>
      </w:r>
      <w:r>
        <w:rPr>
          <w:rFonts w:hint="eastAsia" w:ascii="等线" w:hAnsi="等线" w:eastAsia="等线" w:cs="等线"/>
          <w:i w:val="0"/>
          <w:caps w:val="0"/>
          <w:color w:val="000000"/>
          <w:spacing w:val="0"/>
          <w:kern w:val="0"/>
          <w:sz w:val="21"/>
          <w:szCs w:val="21"/>
          <w:lang w:val="en-US" w:eastAsia="zh-CN" w:bidi="ar"/>
        </w:rPr>
        <w:t> </w:t>
      </w:r>
    </w:p>
    <w:p w14:paraId="06DCE52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1、收支总表</w:t>
      </w:r>
      <w:r>
        <w:rPr>
          <w:rFonts w:hint="eastAsia" w:ascii="等线" w:hAnsi="等线" w:eastAsia="等线" w:cs="等线"/>
          <w:i w:val="0"/>
          <w:caps w:val="0"/>
          <w:color w:val="000000"/>
          <w:spacing w:val="0"/>
          <w:kern w:val="0"/>
          <w:sz w:val="21"/>
          <w:szCs w:val="21"/>
          <w:lang w:val="en-US" w:eastAsia="zh-CN" w:bidi="ar"/>
        </w:rPr>
        <w:t> </w:t>
      </w:r>
    </w:p>
    <w:p w14:paraId="70FABE3F">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2、收入总表</w:t>
      </w:r>
      <w:r>
        <w:rPr>
          <w:rFonts w:hint="eastAsia" w:ascii="等线" w:hAnsi="等线" w:eastAsia="等线" w:cs="等线"/>
          <w:i w:val="0"/>
          <w:caps w:val="0"/>
          <w:color w:val="000000"/>
          <w:spacing w:val="0"/>
          <w:kern w:val="0"/>
          <w:sz w:val="21"/>
          <w:szCs w:val="21"/>
          <w:lang w:val="en-US" w:eastAsia="zh-CN" w:bidi="ar"/>
        </w:rPr>
        <w:t> </w:t>
      </w:r>
    </w:p>
    <w:p w14:paraId="3C9CDAD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3、支出总表</w:t>
      </w:r>
      <w:r>
        <w:rPr>
          <w:rFonts w:hint="eastAsia" w:ascii="等线" w:hAnsi="等线" w:eastAsia="等线" w:cs="等线"/>
          <w:i w:val="0"/>
          <w:caps w:val="0"/>
          <w:color w:val="000000"/>
          <w:spacing w:val="0"/>
          <w:kern w:val="0"/>
          <w:sz w:val="21"/>
          <w:szCs w:val="21"/>
          <w:lang w:val="en-US" w:eastAsia="zh-CN" w:bidi="ar"/>
        </w:rPr>
        <w:t> </w:t>
      </w:r>
    </w:p>
    <w:p w14:paraId="3C9B903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4、支出预算分类汇总表（按政府预算经济分类）</w:t>
      </w:r>
      <w:r>
        <w:rPr>
          <w:rFonts w:hint="eastAsia" w:ascii="等线" w:hAnsi="等线" w:eastAsia="等线" w:cs="等线"/>
          <w:i w:val="0"/>
          <w:caps w:val="0"/>
          <w:color w:val="000000"/>
          <w:spacing w:val="0"/>
          <w:kern w:val="0"/>
          <w:sz w:val="21"/>
          <w:szCs w:val="21"/>
          <w:lang w:val="en-US" w:eastAsia="zh-CN" w:bidi="ar"/>
        </w:rPr>
        <w:t> </w:t>
      </w:r>
    </w:p>
    <w:p w14:paraId="098BA2C9">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5、支出预算分类汇总表（按部门预算经济分类）</w:t>
      </w:r>
      <w:r>
        <w:rPr>
          <w:rFonts w:hint="eastAsia" w:ascii="等线" w:hAnsi="等线" w:eastAsia="等线" w:cs="等线"/>
          <w:i w:val="0"/>
          <w:caps w:val="0"/>
          <w:color w:val="000000"/>
          <w:spacing w:val="0"/>
          <w:kern w:val="0"/>
          <w:sz w:val="21"/>
          <w:szCs w:val="21"/>
          <w:lang w:val="en-US" w:eastAsia="zh-CN" w:bidi="ar"/>
        </w:rPr>
        <w:t> </w:t>
      </w:r>
    </w:p>
    <w:p w14:paraId="1AA3E8B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6、财政拨款收支总表</w:t>
      </w:r>
      <w:r>
        <w:rPr>
          <w:rFonts w:hint="eastAsia" w:ascii="等线" w:hAnsi="等线" w:eastAsia="等线" w:cs="等线"/>
          <w:i w:val="0"/>
          <w:caps w:val="0"/>
          <w:color w:val="000000"/>
          <w:spacing w:val="0"/>
          <w:kern w:val="0"/>
          <w:sz w:val="21"/>
          <w:szCs w:val="21"/>
          <w:lang w:val="en-US" w:eastAsia="zh-CN" w:bidi="ar"/>
        </w:rPr>
        <w:t> </w:t>
      </w:r>
    </w:p>
    <w:p w14:paraId="1C305DE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7、一般公共预算支出表</w:t>
      </w:r>
      <w:r>
        <w:rPr>
          <w:rFonts w:hint="eastAsia" w:ascii="等线" w:hAnsi="等线" w:eastAsia="等线" w:cs="等线"/>
          <w:i w:val="0"/>
          <w:caps w:val="0"/>
          <w:color w:val="000000"/>
          <w:spacing w:val="0"/>
          <w:kern w:val="0"/>
          <w:sz w:val="21"/>
          <w:szCs w:val="21"/>
          <w:lang w:val="en-US" w:eastAsia="zh-CN" w:bidi="ar"/>
        </w:rPr>
        <w:t> </w:t>
      </w:r>
    </w:p>
    <w:p w14:paraId="40FA9923">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8、一般公共预算基本支出表</w:t>
      </w:r>
    </w:p>
    <w:p w14:paraId="207FC2D4">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9、一般公共预算基本支出表--人员经费(工资福利支出)(按政府预算经济分类)</w:t>
      </w:r>
      <w:r>
        <w:rPr>
          <w:rFonts w:hint="eastAsia" w:ascii="等线" w:hAnsi="等线" w:eastAsia="等线" w:cs="等线"/>
          <w:i w:val="0"/>
          <w:caps w:val="0"/>
          <w:color w:val="000000"/>
          <w:spacing w:val="0"/>
          <w:kern w:val="0"/>
          <w:sz w:val="21"/>
          <w:szCs w:val="21"/>
          <w:lang w:val="en-US" w:eastAsia="zh-CN" w:bidi="ar"/>
        </w:rPr>
        <w:t> </w:t>
      </w:r>
    </w:p>
    <w:p w14:paraId="7194D161">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10、一般公共预算基本支出表--人员经费(工资福利支出)(按部门预算经济分类)</w:t>
      </w:r>
      <w:r>
        <w:rPr>
          <w:rFonts w:hint="eastAsia" w:ascii="等线" w:hAnsi="等线" w:eastAsia="等线" w:cs="等线"/>
          <w:i w:val="0"/>
          <w:caps w:val="0"/>
          <w:color w:val="000000"/>
          <w:spacing w:val="0"/>
          <w:kern w:val="0"/>
          <w:sz w:val="21"/>
          <w:szCs w:val="21"/>
          <w:lang w:val="en-US" w:eastAsia="zh-CN" w:bidi="ar"/>
        </w:rPr>
        <w:t> </w:t>
      </w:r>
    </w:p>
    <w:p w14:paraId="55C51F2A">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11、一般公共预算基本支出表--人员经费(对个人和家庭的补助)(按政府预算经济分类)</w:t>
      </w:r>
      <w:r>
        <w:rPr>
          <w:rFonts w:hint="eastAsia" w:ascii="等线" w:hAnsi="等线" w:eastAsia="等线" w:cs="等线"/>
          <w:i w:val="0"/>
          <w:caps w:val="0"/>
          <w:color w:val="000000"/>
          <w:spacing w:val="0"/>
          <w:kern w:val="0"/>
          <w:sz w:val="21"/>
          <w:szCs w:val="21"/>
          <w:lang w:val="en-US" w:eastAsia="zh-CN" w:bidi="ar"/>
        </w:rPr>
        <w:t> </w:t>
      </w:r>
    </w:p>
    <w:p w14:paraId="7B5CF75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12、一般公共预算基本支出表--人员经费(对个人和家庭的补助)（按部门预算经济分类）</w:t>
      </w:r>
      <w:r>
        <w:rPr>
          <w:rFonts w:hint="eastAsia" w:ascii="等线" w:hAnsi="等线" w:eastAsia="等线" w:cs="等线"/>
          <w:i w:val="0"/>
          <w:caps w:val="0"/>
          <w:color w:val="000000"/>
          <w:spacing w:val="0"/>
          <w:kern w:val="0"/>
          <w:sz w:val="21"/>
          <w:szCs w:val="21"/>
          <w:lang w:val="en-US" w:eastAsia="zh-CN" w:bidi="ar"/>
        </w:rPr>
        <w:t> </w:t>
      </w:r>
    </w:p>
    <w:p w14:paraId="3D853E8C">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13、一般公共预算基本支出表--公用经费(商品和服务支出)（按政府预算经济分类）</w:t>
      </w:r>
      <w:r>
        <w:rPr>
          <w:rFonts w:hint="eastAsia" w:ascii="等线" w:hAnsi="等线" w:eastAsia="等线" w:cs="等线"/>
          <w:i w:val="0"/>
          <w:caps w:val="0"/>
          <w:color w:val="000000"/>
          <w:spacing w:val="0"/>
          <w:kern w:val="0"/>
          <w:sz w:val="21"/>
          <w:szCs w:val="21"/>
          <w:lang w:val="en-US" w:eastAsia="zh-CN" w:bidi="ar"/>
        </w:rPr>
        <w:t> </w:t>
      </w:r>
    </w:p>
    <w:p w14:paraId="13340A8B">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14、一般公共预算基本支出表--公用经费(商品和服务支出)(按部门预算经济分类)</w:t>
      </w:r>
      <w:r>
        <w:rPr>
          <w:rFonts w:hint="eastAsia" w:ascii="等线" w:hAnsi="等线" w:eastAsia="等线" w:cs="等线"/>
          <w:i w:val="0"/>
          <w:caps w:val="0"/>
          <w:color w:val="000000"/>
          <w:spacing w:val="0"/>
          <w:kern w:val="0"/>
          <w:sz w:val="21"/>
          <w:szCs w:val="21"/>
          <w:lang w:val="en-US" w:eastAsia="zh-CN" w:bidi="ar"/>
        </w:rPr>
        <w:t> </w:t>
      </w:r>
    </w:p>
    <w:p w14:paraId="7BCEEC3D">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15、一般公共预算“三公”经费支出表</w:t>
      </w:r>
      <w:r>
        <w:rPr>
          <w:rFonts w:hint="eastAsia" w:ascii="等线" w:hAnsi="等线" w:eastAsia="等线" w:cs="等线"/>
          <w:i w:val="0"/>
          <w:caps w:val="0"/>
          <w:color w:val="000000"/>
          <w:spacing w:val="0"/>
          <w:kern w:val="0"/>
          <w:sz w:val="21"/>
          <w:szCs w:val="21"/>
          <w:lang w:val="en-US" w:eastAsia="zh-CN" w:bidi="ar"/>
        </w:rPr>
        <w:t> </w:t>
      </w:r>
    </w:p>
    <w:p w14:paraId="0CCC33BD">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16、政府性基金预算支出表</w:t>
      </w:r>
      <w:r>
        <w:rPr>
          <w:rFonts w:hint="eastAsia" w:ascii="等线" w:hAnsi="等线" w:eastAsia="等线" w:cs="等线"/>
          <w:i w:val="0"/>
          <w:caps w:val="0"/>
          <w:color w:val="000000"/>
          <w:spacing w:val="0"/>
          <w:kern w:val="0"/>
          <w:sz w:val="21"/>
          <w:szCs w:val="21"/>
          <w:lang w:val="en-US" w:eastAsia="zh-CN" w:bidi="ar"/>
        </w:rPr>
        <w:t> </w:t>
      </w:r>
    </w:p>
    <w:p w14:paraId="091D299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17、政府性基金预算支出分类汇总表（按政府预算经济分类）</w:t>
      </w:r>
      <w:r>
        <w:rPr>
          <w:rFonts w:hint="eastAsia" w:ascii="等线" w:hAnsi="等线" w:eastAsia="等线" w:cs="等线"/>
          <w:i w:val="0"/>
          <w:caps w:val="0"/>
          <w:color w:val="000000"/>
          <w:spacing w:val="0"/>
          <w:kern w:val="0"/>
          <w:sz w:val="21"/>
          <w:szCs w:val="21"/>
          <w:lang w:val="en-US" w:eastAsia="zh-CN" w:bidi="ar"/>
        </w:rPr>
        <w:t> </w:t>
      </w:r>
    </w:p>
    <w:p w14:paraId="0784216C">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18、政府性基金预算支出分类汇总表（按部门预算经济分类）</w:t>
      </w:r>
      <w:r>
        <w:rPr>
          <w:rFonts w:hint="eastAsia" w:ascii="等线" w:hAnsi="等线" w:eastAsia="等线" w:cs="等线"/>
          <w:i w:val="0"/>
          <w:caps w:val="0"/>
          <w:color w:val="000000"/>
          <w:spacing w:val="0"/>
          <w:kern w:val="0"/>
          <w:sz w:val="21"/>
          <w:szCs w:val="21"/>
          <w:lang w:val="en-US" w:eastAsia="zh-CN" w:bidi="ar"/>
        </w:rPr>
        <w:t> </w:t>
      </w:r>
    </w:p>
    <w:p w14:paraId="464B1151">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19、国有资本经营预算表</w:t>
      </w:r>
      <w:r>
        <w:rPr>
          <w:rFonts w:hint="eastAsia" w:ascii="等线" w:hAnsi="等线" w:eastAsia="等线" w:cs="等线"/>
          <w:i w:val="0"/>
          <w:caps w:val="0"/>
          <w:color w:val="000000"/>
          <w:spacing w:val="0"/>
          <w:kern w:val="0"/>
          <w:sz w:val="21"/>
          <w:szCs w:val="21"/>
          <w:lang w:val="en-US" w:eastAsia="zh-CN" w:bidi="ar"/>
        </w:rPr>
        <w:t> </w:t>
      </w:r>
    </w:p>
    <w:p w14:paraId="659B0E5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20、财政专户管理资金预算支出表</w:t>
      </w:r>
      <w:r>
        <w:rPr>
          <w:rFonts w:hint="eastAsia" w:ascii="等线" w:hAnsi="等线" w:eastAsia="等线" w:cs="等线"/>
          <w:i w:val="0"/>
          <w:caps w:val="0"/>
          <w:color w:val="000000"/>
          <w:spacing w:val="0"/>
          <w:kern w:val="0"/>
          <w:sz w:val="21"/>
          <w:szCs w:val="21"/>
          <w:lang w:val="en-US" w:eastAsia="zh-CN" w:bidi="ar"/>
        </w:rPr>
        <w:t> </w:t>
      </w:r>
    </w:p>
    <w:p w14:paraId="7ED4C4EF">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21、专项资金预算汇总表</w:t>
      </w:r>
      <w:r>
        <w:rPr>
          <w:rFonts w:hint="eastAsia" w:ascii="等线" w:hAnsi="等线" w:eastAsia="等线" w:cs="等线"/>
          <w:i w:val="0"/>
          <w:caps w:val="0"/>
          <w:color w:val="000000"/>
          <w:spacing w:val="0"/>
          <w:kern w:val="0"/>
          <w:sz w:val="21"/>
          <w:szCs w:val="21"/>
          <w:lang w:val="en-US" w:eastAsia="zh-CN" w:bidi="ar"/>
        </w:rPr>
        <w:t> </w:t>
      </w:r>
    </w:p>
    <w:p w14:paraId="3D294D08">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22、其他项目支出绩效目标表</w:t>
      </w:r>
      <w:r>
        <w:rPr>
          <w:rFonts w:hint="eastAsia" w:ascii="等线" w:hAnsi="等线" w:eastAsia="等线" w:cs="等线"/>
          <w:i w:val="0"/>
          <w:caps w:val="0"/>
          <w:color w:val="000000"/>
          <w:spacing w:val="0"/>
          <w:kern w:val="0"/>
          <w:sz w:val="21"/>
          <w:szCs w:val="21"/>
          <w:lang w:val="en-US" w:eastAsia="zh-CN" w:bidi="ar"/>
        </w:rPr>
        <w:t> </w:t>
      </w:r>
    </w:p>
    <w:p w14:paraId="288A97BB">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23、部门整体支出绩效目标表</w:t>
      </w:r>
      <w:r>
        <w:rPr>
          <w:rFonts w:hint="eastAsia" w:ascii="等线" w:hAnsi="等线" w:eastAsia="等线" w:cs="等线"/>
          <w:i w:val="0"/>
          <w:caps w:val="0"/>
          <w:color w:val="000000"/>
          <w:spacing w:val="0"/>
          <w:kern w:val="0"/>
          <w:sz w:val="21"/>
          <w:szCs w:val="21"/>
          <w:lang w:val="en-US" w:eastAsia="zh-CN" w:bidi="ar"/>
        </w:rPr>
        <w:t> </w:t>
      </w:r>
    </w:p>
    <w:p w14:paraId="2BE47010">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注：以上部门预算报表中，空表表示本部门无相关收支情况。</w:t>
      </w:r>
      <w:r>
        <w:rPr>
          <w:rFonts w:hint="eastAsia" w:ascii="等线" w:hAnsi="等线" w:eastAsia="等线" w:cs="等线"/>
          <w:i w:val="0"/>
          <w:caps w:val="0"/>
          <w:color w:val="000000"/>
          <w:spacing w:val="0"/>
          <w:kern w:val="0"/>
          <w:sz w:val="21"/>
          <w:szCs w:val="21"/>
          <w:lang w:val="en-US" w:eastAsia="zh-CN" w:bidi="ar"/>
        </w:rPr>
        <w:t> </w:t>
      </w:r>
    </w:p>
    <w:p w14:paraId="557AD223">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等线" w:hAnsi="等线" w:eastAsia="等线" w:cs="等线"/>
          <w:i w:val="0"/>
          <w:caps w:val="0"/>
          <w:color w:val="000000"/>
          <w:spacing w:val="0"/>
          <w:kern w:val="0"/>
          <w:sz w:val="21"/>
          <w:szCs w:val="21"/>
          <w:lang w:val="en-US" w:eastAsia="zh-CN" w:bidi="ar"/>
        </w:rPr>
        <w:t> </w:t>
      </w:r>
    </w:p>
    <w:p w14:paraId="6823104A">
      <w:pPr>
        <w:pStyle w:val="2"/>
        <w:keepNext w:val="0"/>
        <w:keepLines w:val="0"/>
        <w:widowControl/>
        <w:suppressLineNumbers w:val="0"/>
        <w:spacing w:before="0" w:beforeAutospacing="0" w:after="2" w:afterAutospacing="0"/>
        <w:ind w:left="0" w:right="0" w:firstLine="0"/>
        <w:jc w:val="left"/>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sz w:val="24"/>
          <w:szCs w:val="24"/>
        </w:rPr>
        <w:t> </w:t>
      </w:r>
    </w:p>
    <w:p w14:paraId="3C42D699">
      <w:pPr>
        <w:keepNext w:val="0"/>
        <w:keepLines w:val="0"/>
        <w:widowControl/>
        <w:suppressLineNumbers w:val="0"/>
        <w:spacing w:before="0" w:beforeAutospacing="0" w:after="2" w:afterAutospacing="0"/>
        <w:ind w:left="0" w:right="0" w:firstLine="0"/>
        <w:jc w:val="center"/>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 第一部分 2025年部门预算说明</w:t>
      </w:r>
      <w:r>
        <w:rPr>
          <w:rFonts w:ascii="仿宋_GB2312" w:hAnsi="等线" w:eastAsia="仿宋_GB2312" w:cs="仿宋_GB2312"/>
          <w:i w:val="0"/>
          <w:caps w:val="0"/>
          <w:color w:val="000000"/>
          <w:spacing w:val="0"/>
          <w:kern w:val="0"/>
          <w:sz w:val="21"/>
          <w:szCs w:val="21"/>
          <w:lang w:val="en-US" w:eastAsia="zh-CN" w:bidi="ar"/>
        </w:rPr>
        <w:t> </w:t>
      </w:r>
    </w:p>
    <w:p w14:paraId="08CA0028">
      <w:pPr>
        <w:keepNext w:val="0"/>
        <w:keepLines w:val="0"/>
        <w:widowControl/>
        <w:suppressLineNumbers w:val="0"/>
        <w:spacing w:before="0" w:beforeAutospacing="0" w:after="2" w:afterAutospacing="0"/>
        <w:ind w:left="0" w:right="0" w:firstLine="627"/>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一、部门基本概况</w:t>
      </w:r>
      <w:r>
        <w:rPr>
          <w:rFonts w:hint="default" w:ascii="仿宋_GB2312" w:hAnsi="等线" w:eastAsia="仿宋_GB2312" w:cs="仿宋_GB2312"/>
          <w:i w:val="0"/>
          <w:caps w:val="0"/>
          <w:color w:val="000000"/>
          <w:spacing w:val="0"/>
          <w:kern w:val="0"/>
          <w:sz w:val="21"/>
          <w:szCs w:val="21"/>
          <w:lang w:val="en-US" w:eastAsia="zh-CN" w:bidi="ar"/>
        </w:rPr>
        <w:t> </w:t>
      </w:r>
    </w:p>
    <w:p w14:paraId="66DABA8C">
      <w:pPr>
        <w:keepNext w:val="0"/>
        <w:keepLines w:val="0"/>
        <w:widowControl/>
        <w:suppressLineNumbers w:val="0"/>
        <w:spacing w:before="0" w:beforeAutospacing="0" w:after="2" w:afterAutospacing="0"/>
        <w:ind w:left="0" w:right="0" w:firstLine="628"/>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（一）职能职责</w:t>
      </w:r>
      <w:r>
        <w:rPr>
          <w:rFonts w:hint="default" w:ascii="仿宋_GB2312" w:hAnsi="等线" w:eastAsia="仿宋_GB2312" w:cs="仿宋_GB2312"/>
          <w:i w:val="0"/>
          <w:caps w:val="0"/>
          <w:color w:val="000000"/>
          <w:spacing w:val="0"/>
          <w:kern w:val="0"/>
          <w:sz w:val="21"/>
          <w:szCs w:val="21"/>
          <w:lang w:val="en-US" w:eastAsia="zh-CN" w:bidi="ar"/>
        </w:rPr>
        <w:t> </w:t>
      </w:r>
    </w:p>
    <w:p w14:paraId="66E1B8A3">
      <w:pPr>
        <w:keepNext w:val="0"/>
        <w:keepLines w:val="0"/>
        <w:widowControl/>
        <w:suppressLineNumbers w:val="0"/>
        <w:spacing w:before="0" w:beforeAutospacing="0" w:after="2" w:afterAutospacing="0"/>
        <w:ind w:left="0" w:right="0" w:firstLine="628"/>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r>
        <w:rPr>
          <w:rFonts w:hint="default" w:ascii="仿宋_GB2312" w:hAnsi="等线" w:eastAsia="仿宋_GB2312" w:cs="仿宋_GB2312"/>
          <w:i w:val="0"/>
          <w:caps w:val="0"/>
          <w:color w:val="000000"/>
          <w:spacing w:val="0"/>
          <w:kern w:val="0"/>
          <w:sz w:val="21"/>
          <w:szCs w:val="21"/>
          <w:lang w:val="en-US" w:eastAsia="zh-CN" w:bidi="ar"/>
        </w:rPr>
        <w:t> </w:t>
      </w:r>
    </w:p>
    <w:p w14:paraId="2DBDBCF6">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2、制定并组织实施村镇建设规划，部署重点工程建设、地方道路建设及公共设施，水利设施的管理，负责土地、林木、水等自然资源和生态环境的保护，做好护林防火工作。</w:t>
      </w:r>
    </w:p>
    <w:p w14:paraId="6AB2F014">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3、负责本行政区域内的民政、计划生育、文化教育、卫生、体育等社会公益事业的综合性工作，维护一切经济单位和个人的正当经济权益，取缔非法经济活动，调解和处理民事纠纷，打击刑事犯罪维护社会稳定。</w:t>
      </w:r>
    </w:p>
    <w:p w14:paraId="00F7DC40">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4、按计划组织本级财政收入和地方税的征收，完成国家财政计划，不断培植税源，管好财政资金，增强财政实力。</w:t>
      </w:r>
    </w:p>
    <w:p w14:paraId="6E93C9FD">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5、抓好精神文明建设，丰富群众文化生活，提倡移风易俗，反对封建迷信，破除陈规陋习，树立社会主义新风尚。</w:t>
      </w:r>
    </w:p>
    <w:p w14:paraId="38939870">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6、执行本级人民代表大会的决议和上级国家行政机关的决定和命令，发布决定和命令。</w:t>
      </w:r>
    </w:p>
    <w:p w14:paraId="022D969D">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7、执行本行政区域内的经济和社会发展计划、预算管理本行政区域内的经济、教育、科学、文化、卫生、体育事业和财政、民政、公安、司法行政、计划生育等行政工作。</w:t>
      </w:r>
    </w:p>
    <w:p w14:paraId="3C7B5E95">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8、保护社会主义的全民所有的财产和劳动群众集体所有财产，保护公民私有的合法财产、维护社会秩序、保障公民的人身权利、民主权利和其他权利。</w:t>
      </w:r>
    </w:p>
    <w:p w14:paraId="64AEE094">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9、保障农村集体经济组织应有的自主权。</w:t>
      </w:r>
    </w:p>
    <w:p w14:paraId="575D8343">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10、保障少数民族的权利和尊重少数民族的风俗习惯。</w:t>
      </w:r>
    </w:p>
    <w:p w14:paraId="46D58093">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11、保障宪法和法律赋予妇女的男女平等、同工同酬和婚姻自由等各项权利。</w:t>
      </w:r>
    </w:p>
    <w:p w14:paraId="2557CC52">
      <w:pPr>
        <w:keepNext w:val="0"/>
        <w:keepLines w:val="0"/>
        <w:widowControl/>
        <w:suppressLineNumbers w:val="0"/>
        <w:spacing w:before="0" w:beforeAutospacing="0" w:after="2" w:afterAutospacing="0"/>
        <w:ind w:left="0" w:right="0" w:firstLine="63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12、办理上级人民政府交办的其它事项。</w:t>
      </w:r>
    </w:p>
    <w:p w14:paraId="2DDE2691">
      <w:pPr>
        <w:pStyle w:val="2"/>
        <w:keepNext w:val="0"/>
        <w:keepLines w:val="0"/>
        <w:widowControl/>
        <w:suppressLineNumbers w:val="0"/>
        <w:spacing w:before="0" w:beforeAutospacing="0" w:after="2" w:afterAutospacing="0"/>
        <w:ind w:left="0" w:right="0" w:firstLine="641"/>
        <w:rPr>
          <w:rFonts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sz w:val="32"/>
          <w:szCs w:val="32"/>
        </w:rPr>
        <w:t>（二）机构设置</w:t>
      </w:r>
      <w:r>
        <w:rPr>
          <w:rFonts w:hint="eastAsia" w:ascii="等线" w:hAnsi="等线" w:eastAsia="等线" w:cs="等线"/>
          <w:i w:val="0"/>
          <w:caps w:val="0"/>
          <w:color w:val="000000"/>
          <w:spacing w:val="0"/>
          <w:sz w:val="27"/>
          <w:szCs w:val="27"/>
        </w:rPr>
        <w:t> </w:t>
      </w:r>
    </w:p>
    <w:p w14:paraId="135CF47D">
      <w:pPr>
        <w:pStyle w:val="2"/>
        <w:keepNext w:val="0"/>
        <w:keepLines w:val="0"/>
        <w:widowControl/>
        <w:suppressLineNumbers w:val="0"/>
        <w:spacing w:before="0" w:beforeAutospacing="0" w:after="2" w:afterAutospacing="0"/>
        <w:ind w:left="0" w:right="0" w:firstLine="641"/>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32"/>
          <w:szCs w:val="32"/>
        </w:rPr>
        <w:t>洞口县人民政府文昌街道办事处内设机构包括：本部门共有编制人数154人，实有人数131人，其中在职131人，退休79人。内设股室11个（含0个副科级单位）。分别为：党政办公室、党建办公室、经济发展办公室、平安法治和应急管理办公室、自然资源和村镇建设事务中心、综合行政执法大队、社会事务综合服务中心、生态事务中心、农业综合服务中心、退役军人事务站、财政所。</w:t>
      </w:r>
    </w:p>
    <w:p w14:paraId="28A29B59">
      <w:pPr>
        <w:pStyle w:val="2"/>
        <w:keepNext w:val="0"/>
        <w:keepLines w:val="0"/>
        <w:widowControl/>
        <w:suppressLineNumbers w:val="0"/>
        <w:spacing w:before="0" w:beforeAutospacing="0" w:after="2" w:afterAutospacing="0"/>
        <w:ind w:left="0" w:right="0" w:firstLine="641"/>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sz w:val="32"/>
          <w:szCs w:val="32"/>
        </w:rPr>
        <w:t>二、部门预算单位构成</w:t>
      </w:r>
      <w:r>
        <w:rPr>
          <w:rFonts w:hint="eastAsia" w:ascii="等线" w:hAnsi="等线" w:eastAsia="等线" w:cs="等线"/>
          <w:i w:val="0"/>
          <w:caps w:val="0"/>
          <w:color w:val="000000"/>
          <w:spacing w:val="0"/>
          <w:sz w:val="27"/>
          <w:szCs w:val="27"/>
        </w:rPr>
        <w:t> </w:t>
      </w:r>
    </w:p>
    <w:p w14:paraId="1ABD9ACE">
      <w:pPr>
        <w:keepNext w:val="0"/>
        <w:keepLines w:val="0"/>
        <w:widowControl/>
        <w:suppressLineNumbers w:val="0"/>
        <w:spacing w:before="0" w:beforeAutospacing="0" w:after="2" w:afterAutospacing="0"/>
        <w:ind w:left="0" w:right="0" w:firstLine="628"/>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洞口县人民政府文昌街道办事处只有本级，没有其他预算单位，纳入编制范围的预算单位仅含洞口县人民政府文昌街道办事处。</w:t>
      </w:r>
      <w:r>
        <w:rPr>
          <w:rFonts w:hint="default" w:ascii="仿宋_GB2312" w:hAnsi="等线" w:eastAsia="仿宋_GB2312" w:cs="仿宋_GB2312"/>
          <w:i w:val="0"/>
          <w:caps w:val="0"/>
          <w:color w:val="000000"/>
          <w:spacing w:val="0"/>
          <w:kern w:val="0"/>
          <w:sz w:val="21"/>
          <w:szCs w:val="21"/>
          <w:lang w:val="en-US" w:eastAsia="zh-CN" w:bidi="ar"/>
        </w:rPr>
        <w:t> </w:t>
      </w:r>
    </w:p>
    <w:p w14:paraId="3A2762E2">
      <w:pPr>
        <w:keepNext w:val="0"/>
        <w:keepLines w:val="0"/>
        <w:widowControl/>
        <w:suppressLineNumbers w:val="0"/>
        <w:spacing w:before="0" w:beforeAutospacing="0" w:after="2" w:afterAutospacing="0"/>
        <w:ind w:left="0" w:right="0" w:firstLine="627"/>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三、部门收支总体情况</w:t>
      </w:r>
      <w:r>
        <w:rPr>
          <w:rFonts w:hint="default" w:ascii="仿宋_GB2312" w:hAnsi="等线" w:eastAsia="仿宋_GB2312" w:cs="仿宋_GB2312"/>
          <w:i w:val="0"/>
          <w:caps w:val="0"/>
          <w:color w:val="000000"/>
          <w:spacing w:val="0"/>
          <w:kern w:val="0"/>
          <w:sz w:val="21"/>
          <w:szCs w:val="21"/>
          <w:lang w:val="en-US" w:eastAsia="zh-CN" w:bidi="ar"/>
        </w:rPr>
        <w:t> </w:t>
      </w:r>
    </w:p>
    <w:p w14:paraId="4CA4E308">
      <w:pPr>
        <w:keepNext w:val="0"/>
        <w:keepLines w:val="0"/>
        <w:widowControl/>
        <w:suppressLineNumbers w:val="0"/>
        <w:spacing w:before="0" w:beforeAutospacing="0" w:after="2" w:afterAutospacing="0"/>
        <w:ind w:left="0" w:right="0" w:firstLine="628"/>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（一）收入预算：</w:t>
      </w:r>
      <w:r>
        <w:rPr>
          <w:rFonts w:hint="eastAsia" w:ascii="宋体" w:hAnsi="宋体" w:eastAsia="宋体" w:cs="宋体"/>
          <w:i w:val="0"/>
          <w:caps w:val="0"/>
          <w:color w:val="000000"/>
          <w:spacing w:val="0"/>
          <w:kern w:val="0"/>
          <w:sz w:val="32"/>
          <w:szCs w:val="32"/>
          <w:lang w:val="en-US" w:eastAsia="zh-CN" w:bidi="ar"/>
        </w:rPr>
        <w:t>包括一般公共预算、政府性基金、国有资本经营预算等财政拨款收入，以及经营收入、事业收入等单位资金。2025年本部门收入预算1746.26万元，其中，一般公共预算拨款收入1746.26万元，政府性基金预算拨款收入0万元，国有资本经营预算拨款收入0万元。收入较去年增加30.03万元，主要原因是基本工资、公务员生活津贴及事业人员绩效工资、13月奖励工资、公务费有所增加。</w:t>
      </w:r>
    </w:p>
    <w:p w14:paraId="1F2250A1">
      <w:pPr>
        <w:keepNext w:val="0"/>
        <w:keepLines w:val="0"/>
        <w:widowControl/>
        <w:suppressLineNumbers w:val="0"/>
        <w:spacing w:before="0" w:beforeAutospacing="0" w:after="2" w:afterAutospacing="0"/>
        <w:ind w:left="0" w:right="0" w:firstLine="628"/>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（二）支出预算：</w:t>
      </w:r>
      <w:r>
        <w:rPr>
          <w:rFonts w:hint="eastAsia" w:ascii="宋体" w:hAnsi="宋体" w:eastAsia="宋体" w:cs="宋体"/>
          <w:i w:val="0"/>
          <w:caps w:val="0"/>
          <w:color w:val="000000"/>
          <w:spacing w:val="0"/>
          <w:kern w:val="0"/>
          <w:sz w:val="32"/>
          <w:szCs w:val="32"/>
          <w:lang w:val="en-US" w:eastAsia="zh-CN" w:bidi="ar"/>
        </w:rPr>
        <w:t>2025年本部门支出预算1746.26万元，其中：一般公共服务支出1384.38万元；社会保障和就业支出176.63万元；卫生健康支出63.97万元；住房保障支出121.28万元。支出较去年增加30.03万元，主要原因是基本工资、公务员生活津贴及事业人员绩效工资、13月奖励工资、公务费有所增加，所以增加了支出。</w:t>
      </w:r>
    </w:p>
    <w:p w14:paraId="1B094A24">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四、一般公共预算拨款支出</w:t>
      </w:r>
      <w:r>
        <w:rPr>
          <w:rFonts w:hint="default" w:ascii="仿宋_GB2312" w:hAnsi="等线" w:eastAsia="仿宋_GB2312" w:cs="仿宋_GB2312"/>
          <w:i w:val="0"/>
          <w:caps w:val="0"/>
          <w:color w:val="000000"/>
          <w:spacing w:val="0"/>
          <w:kern w:val="0"/>
          <w:sz w:val="21"/>
          <w:szCs w:val="21"/>
          <w:lang w:val="en-US" w:eastAsia="zh-CN" w:bidi="ar"/>
        </w:rPr>
        <w:t> </w:t>
      </w:r>
    </w:p>
    <w:p w14:paraId="14C29095">
      <w:pPr>
        <w:keepNext w:val="0"/>
        <w:keepLines w:val="0"/>
        <w:widowControl/>
        <w:suppressLineNumbers w:val="0"/>
        <w:spacing w:before="0" w:beforeAutospacing="0" w:after="2" w:afterAutospacing="0"/>
        <w:ind w:left="0" w:right="0" w:firstLine="84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2025年本部门一般公共预算拨款支出预算1746.26万元，相比2024年增加30.03万元，主要是因为基本工资、公务员生活津贴及事业人员绩效工资、13月奖励工资、公务费有所增加，所以增加了支出。其中：一般公共服务支出1384.38万元，占79.28%；社会保障和就业支出176.63万元，占10.11%；卫生健康支出63.97万元，占3.66%；住房保障支出121.28万元，占6.95%。具体安排情况如下：</w:t>
      </w:r>
    </w:p>
    <w:p w14:paraId="1ADD37BA">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（一）基本支出：</w:t>
      </w:r>
      <w:r>
        <w:rPr>
          <w:rFonts w:hint="eastAsia" w:ascii="宋体" w:hAnsi="宋体" w:eastAsia="宋体" w:cs="宋体"/>
          <w:i w:val="0"/>
          <w:caps w:val="0"/>
          <w:color w:val="000000"/>
          <w:spacing w:val="0"/>
          <w:kern w:val="0"/>
          <w:sz w:val="32"/>
          <w:szCs w:val="32"/>
          <w:lang w:val="en-US" w:eastAsia="zh-CN" w:bidi="ar"/>
        </w:rPr>
        <w:t>2025年本部门基本支出预算1726.7万元，主要是为保障部门正常运转、完成日常工作任务而发生的各项支出，包括用于基本工资、津贴补贴等人员经费以及办公费、印刷费、水电费、办公设备购置等公用经费。</w:t>
      </w:r>
      <w:r>
        <w:rPr>
          <w:rFonts w:hint="eastAsia" w:ascii="等线" w:hAnsi="等线" w:eastAsia="等线" w:cs="等线"/>
          <w:i w:val="0"/>
          <w:caps w:val="0"/>
          <w:color w:val="000000"/>
          <w:spacing w:val="0"/>
          <w:kern w:val="0"/>
          <w:sz w:val="21"/>
          <w:szCs w:val="21"/>
          <w:lang w:val="en-US" w:eastAsia="zh-CN" w:bidi="ar"/>
        </w:rPr>
        <w:t> </w:t>
      </w:r>
    </w:p>
    <w:p w14:paraId="6308F54C">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（二）项目支出：</w:t>
      </w:r>
      <w:r>
        <w:rPr>
          <w:rFonts w:hint="eastAsia" w:ascii="宋体" w:hAnsi="宋体" w:eastAsia="宋体" w:cs="宋体"/>
          <w:i w:val="0"/>
          <w:caps w:val="0"/>
          <w:color w:val="000000"/>
          <w:spacing w:val="0"/>
          <w:kern w:val="0"/>
          <w:sz w:val="32"/>
          <w:szCs w:val="32"/>
          <w:lang w:val="en-US" w:eastAsia="zh-CN" w:bidi="ar"/>
        </w:rPr>
        <w:t>2025年本部门项目支出预算19.56万元，主要是部门为完成特定行政工作任务或事业发展目标而发生的支出，包括有关事业发展专项、专项业务费、基本建设支出等，其中：一般行政管理事务支出19.56万元，主要用于项目管理的工资福利支出19.56万，主要用于环卫改制人员经费等方面；项目管理的商品和服务支出3万，主要用于花山社区稻田补助等方面。</w:t>
      </w:r>
      <w:r>
        <w:rPr>
          <w:rFonts w:hint="eastAsia" w:ascii="等线" w:hAnsi="等线" w:eastAsia="等线" w:cs="等线"/>
          <w:i w:val="0"/>
          <w:caps w:val="0"/>
          <w:color w:val="000000"/>
          <w:spacing w:val="0"/>
          <w:kern w:val="0"/>
          <w:sz w:val="21"/>
          <w:szCs w:val="21"/>
          <w:lang w:val="en-US" w:eastAsia="zh-CN" w:bidi="ar"/>
        </w:rPr>
        <w:t> </w:t>
      </w:r>
    </w:p>
    <w:p w14:paraId="060507C9">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五、政府性基金预算支出</w:t>
      </w:r>
      <w:r>
        <w:rPr>
          <w:rFonts w:hint="default" w:ascii="仿宋_GB2312" w:hAnsi="等线" w:eastAsia="仿宋_GB2312" w:cs="仿宋_GB2312"/>
          <w:i w:val="0"/>
          <w:caps w:val="0"/>
          <w:color w:val="000000"/>
          <w:spacing w:val="0"/>
          <w:kern w:val="0"/>
          <w:sz w:val="21"/>
          <w:szCs w:val="21"/>
          <w:lang w:val="en-US" w:eastAsia="zh-CN" w:bidi="ar"/>
        </w:rPr>
        <w:t> </w:t>
      </w:r>
    </w:p>
    <w:p w14:paraId="0869662B">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2025年本部门无政府性基金安排的支出。</w:t>
      </w:r>
    </w:p>
    <w:p w14:paraId="67AA7CB1">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六、其他重要事项的情况说明</w:t>
      </w:r>
      <w:r>
        <w:rPr>
          <w:rFonts w:hint="default" w:ascii="仿宋_GB2312" w:hAnsi="等线" w:eastAsia="仿宋_GB2312" w:cs="仿宋_GB2312"/>
          <w:i w:val="0"/>
          <w:caps w:val="0"/>
          <w:color w:val="000000"/>
          <w:spacing w:val="0"/>
          <w:kern w:val="0"/>
          <w:sz w:val="21"/>
          <w:szCs w:val="21"/>
          <w:lang w:val="en-US" w:eastAsia="zh-CN" w:bidi="ar"/>
        </w:rPr>
        <w:t> </w:t>
      </w:r>
    </w:p>
    <w:p w14:paraId="5440E719">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（一）机关运行经费：</w:t>
      </w:r>
      <w:r>
        <w:rPr>
          <w:rFonts w:hint="eastAsia" w:ascii="宋体" w:hAnsi="宋体" w:eastAsia="宋体" w:cs="宋体"/>
          <w:i w:val="0"/>
          <w:caps w:val="0"/>
          <w:color w:val="000000"/>
          <w:spacing w:val="0"/>
          <w:kern w:val="0"/>
          <w:sz w:val="32"/>
          <w:szCs w:val="32"/>
          <w:lang w:val="en-US" w:eastAsia="zh-CN" w:bidi="ar"/>
        </w:rPr>
        <w:t>2025年本部门机关运行经费支出274.11万元，比上年预算减少1.26万元，下降0.45%，主要原因是减少了办公经费、培训费、商品和服务支出经费。</w:t>
      </w:r>
    </w:p>
    <w:p w14:paraId="7303D7E0">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（二）“三公”经费预算：</w:t>
      </w:r>
      <w:r>
        <w:rPr>
          <w:rFonts w:hint="eastAsia" w:ascii="宋体" w:hAnsi="宋体" w:eastAsia="宋体" w:cs="宋体"/>
          <w:i w:val="0"/>
          <w:caps w:val="0"/>
          <w:color w:val="000000"/>
          <w:spacing w:val="0"/>
          <w:kern w:val="0"/>
          <w:sz w:val="32"/>
          <w:szCs w:val="32"/>
          <w:lang w:val="en-US" w:eastAsia="zh-CN" w:bidi="ar"/>
        </w:rPr>
        <w:t>2025年本部门“三公”经费预算数为2.5万元，其中，公务接待费0.5万元，公务用车购置及运行费2万元（其中，公务用车购置费0万元，公务用车运行费2万元），因公出国（境）费0万元。2025年“三公”经费预算较2024年减少0.5万元，主要是减少了2025年公务接待费预算。</w:t>
      </w:r>
      <w:r>
        <w:rPr>
          <w:rFonts w:hint="eastAsia" w:ascii="等线" w:hAnsi="等线" w:eastAsia="等线" w:cs="等线"/>
          <w:i w:val="0"/>
          <w:caps w:val="0"/>
          <w:color w:val="000000"/>
          <w:spacing w:val="0"/>
          <w:kern w:val="0"/>
          <w:sz w:val="21"/>
          <w:szCs w:val="21"/>
          <w:lang w:val="en-US" w:eastAsia="zh-CN" w:bidi="ar"/>
        </w:rPr>
        <w:t> </w:t>
      </w:r>
    </w:p>
    <w:p w14:paraId="02BABED3">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（三）一般性支出情况：</w:t>
      </w:r>
      <w:r>
        <w:rPr>
          <w:rFonts w:hint="eastAsia" w:ascii="宋体" w:hAnsi="宋体" w:eastAsia="宋体" w:cs="宋体"/>
          <w:i w:val="0"/>
          <w:caps w:val="0"/>
          <w:color w:val="000000"/>
          <w:spacing w:val="0"/>
          <w:kern w:val="0"/>
          <w:sz w:val="32"/>
          <w:szCs w:val="32"/>
          <w:lang w:val="en-US" w:eastAsia="zh-CN" w:bidi="ar"/>
        </w:rPr>
        <w:t>2025年本部门会议费预算1万元，拟召开15次会议，人数1800人，内容为禁毒工作、环境卫生整治工作、乡村振兴工作、防溺水工作、耕地恢复工作、医保征缴工作、六零创建工作、食品安全监督工作、安全生产工作等会议；培训费预算1万元，拟召开10场培训，人数1200人，内容为村级财务人员培训、街道干部及各村村干部乡村振兴政策培训、街道干部及各村社区干部党风廉政教育、街道干部及各村社区干部消防安全培训等；</w:t>
      </w:r>
      <w:r>
        <w:rPr>
          <w:rFonts w:hint="eastAsia" w:ascii="宋体" w:hAnsi="宋体" w:eastAsia="宋体" w:cs="宋体"/>
          <w:i w:val="0"/>
          <w:caps w:val="0"/>
          <w:color w:val="000000"/>
          <w:spacing w:val="0"/>
          <w:kern w:val="0"/>
          <w:sz w:val="32"/>
          <w:szCs w:val="32"/>
          <w:shd w:val="clear" w:fill="FFFFFF"/>
          <w:lang w:val="en-US" w:eastAsia="zh-CN" w:bidi="ar"/>
        </w:rPr>
        <w:t>拟举办0场节庆、晚会、论坛、赛事活动，开支0万元，无相关活动计划。</w:t>
      </w:r>
      <w:r>
        <w:rPr>
          <w:rFonts w:hint="eastAsia" w:ascii="宋体" w:hAnsi="宋体" w:eastAsia="宋体" w:cs="宋体"/>
          <w:i w:val="0"/>
          <w:caps w:val="0"/>
          <w:color w:val="000000"/>
          <w:spacing w:val="0"/>
          <w:kern w:val="0"/>
          <w:sz w:val="32"/>
          <w:szCs w:val="32"/>
          <w:lang w:val="en-US" w:eastAsia="zh-CN" w:bidi="ar"/>
        </w:rPr>
        <w:t> </w:t>
      </w:r>
    </w:p>
    <w:p w14:paraId="3E5EF267">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（四）政府采购情况：</w:t>
      </w:r>
      <w:r>
        <w:rPr>
          <w:rFonts w:hint="eastAsia" w:ascii="宋体" w:hAnsi="宋体" w:eastAsia="宋体" w:cs="宋体"/>
          <w:i w:val="0"/>
          <w:caps w:val="0"/>
          <w:color w:val="000000"/>
          <w:spacing w:val="0"/>
          <w:kern w:val="0"/>
          <w:sz w:val="32"/>
          <w:szCs w:val="32"/>
          <w:lang w:val="en-US" w:eastAsia="zh-CN" w:bidi="ar"/>
        </w:rPr>
        <w:t>2025年本部门政府采购预算总额110万元，其中，货物类采购预算30万元；工程类采购预算50万元；服务类采购预算30万元。</w:t>
      </w:r>
      <w:r>
        <w:rPr>
          <w:rFonts w:hint="eastAsia" w:ascii="等线" w:hAnsi="等线" w:eastAsia="等线" w:cs="等线"/>
          <w:i w:val="0"/>
          <w:caps w:val="0"/>
          <w:color w:val="000000"/>
          <w:spacing w:val="0"/>
          <w:kern w:val="0"/>
          <w:sz w:val="21"/>
          <w:szCs w:val="21"/>
          <w:lang w:val="en-US" w:eastAsia="zh-CN" w:bidi="ar"/>
        </w:rPr>
        <w:t> </w:t>
      </w:r>
    </w:p>
    <w:p w14:paraId="618B42A0">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（五）国有资产占用使用及新增资产配置情况：</w:t>
      </w:r>
      <w:r>
        <w:rPr>
          <w:rFonts w:hint="eastAsia" w:ascii="宋体" w:hAnsi="宋体" w:eastAsia="宋体" w:cs="宋体"/>
          <w:i w:val="0"/>
          <w:caps w:val="0"/>
          <w:color w:val="000000"/>
          <w:spacing w:val="0"/>
          <w:kern w:val="0"/>
          <w:sz w:val="32"/>
          <w:szCs w:val="32"/>
          <w:lang w:val="en-US" w:eastAsia="zh-CN" w:bidi="ar"/>
        </w:rPr>
        <w:t>截至2024年12月底，本部门共有公务用车1辆，其中，机要通信用车0辆，应急保障用车0辆，执法执勤用车0辆，专业技术用车0辆，特种专业技术用车0辆，业务用车0辆，其他按照规定配备的公务用车1辆；单位价值50万元以上通用设备0台，单位价值100万元以上专用设备0台。2025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rFonts w:hint="eastAsia" w:ascii="等线" w:hAnsi="等线" w:eastAsia="等线" w:cs="等线"/>
          <w:i w:val="0"/>
          <w:caps w:val="0"/>
          <w:color w:val="000000"/>
          <w:spacing w:val="0"/>
          <w:kern w:val="0"/>
          <w:sz w:val="21"/>
          <w:szCs w:val="21"/>
          <w:lang w:val="en-US" w:eastAsia="zh-CN" w:bidi="ar"/>
        </w:rPr>
        <w:t> </w:t>
      </w:r>
    </w:p>
    <w:p w14:paraId="602586CB">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（六）部门整体支出、单位项目支出、重点（专项）项目支出预算绩效目标情况说明：</w:t>
      </w:r>
      <w:r>
        <w:rPr>
          <w:rFonts w:hint="eastAsia" w:ascii="宋体" w:hAnsi="宋体" w:eastAsia="宋体" w:cs="宋体"/>
          <w:i w:val="0"/>
          <w:caps w:val="0"/>
          <w:color w:val="000000"/>
          <w:spacing w:val="0"/>
          <w:kern w:val="0"/>
          <w:sz w:val="32"/>
          <w:szCs w:val="32"/>
          <w:lang w:val="en-US" w:eastAsia="zh-CN" w:bidi="ar"/>
        </w:rPr>
        <w:t>本部门所有支出实行绩效目标管理。纳入2025年部门整体支出绩效目标的金额为1746.26万元，其中，基本支出1726.70万元，项目支出19.56万元，具体绩效目标详见报表。</w:t>
      </w:r>
      <w:r>
        <w:rPr>
          <w:rFonts w:hint="eastAsia" w:ascii="等线" w:hAnsi="等线" w:eastAsia="等线" w:cs="等线"/>
          <w:i w:val="0"/>
          <w:caps w:val="0"/>
          <w:color w:val="000000"/>
          <w:spacing w:val="0"/>
          <w:kern w:val="0"/>
          <w:sz w:val="21"/>
          <w:szCs w:val="21"/>
          <w:lang w:val="en-US" w:eastAsia="zh-CN" w:bidi="ar"/>
        </w:rPr>
        <w:t> </w:t>
      </w:r>
    </w:p>
    <w:p w14:paraId="22C2654E">
      <w:pPr>
        <w:keepNext w:val="0"/>
        <w:keepLines w:val="0"/>
        <w:widowControl/>
        <w:suppressLineNumbers w:val="0"/>
        <w:spacing w:before="0" w:beforeAutospacing="0" w:after="2" w:afterAutospacing="0"/>
        <w:ind w:left="0" w:right="0" w:firstLine="660"/>
        <w:jc w:val="both"/>
        <w:rPr>
          <w:rFonts w:hint="eastAsia" w:ascii="等线" w:hAnsi="等线" w:eastAsia="等线" w:cs="等线"/>
          <w:i w:val="0"/>
          <w:caps w:val="0"/>
          <w:color w:val="000000"/>
          <w:spacing w:val="0"/>
          <w:sz w:val="21"/>
          <w:szCs w:val="21"/>
        </w:rPr>
      </w:pPr>
      <w:r>
        <w:rPr>
          <w:rFonts w:hint="eastAsia" w:ascii="宋体" w:hAnsi="宋体" w:eastAsia="宋体" w:cs="宋体"/>
          <w:b/>
          <w:i w:val="0"/>
          <w:caps w:val="0"/>
          <w:color w:val="000000"/>
          <w:spacing w:val="0"/>
          <w:kern w:val="0"/>
          <w:sz w:val="32"/>
          <w:szCs w:val="32"/>
          <w:lang w:val="en-US" w:eastAsia="zh-CN" w:bidi="ar"/>
        </w:rPr>
        <w:t>七、名词解释</w:t>
      </w:r>
      <w:r>
        <w:rPr>
          <w:rFonts w:hint="default" w:ascii="仿宋_GB2312" w:hAnsi="等线" w:eastAsia="仿宋_GB2312" w:cs="仿宋_GB2312"/>
          <w:i w:val="0"/>
          <w:caps w:val="0"/>
          <w:color w:val="000000"/>
          <w:spacing w:val="0"/>
          <w:kern w:val="0"/>
          <w:sz w:val="21"/>
          <w:szCs w:val="21"/>
          <w:lang w:val="en-US" w:eastAsia="zh-CN" w:bidi="ar"/>
        </w:rPr>
        <w:t> </w:t>
      </w:r>
    </w:p>
    <w:p w14:paraId="7CD1FAF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hAnsi="等线" w:eastAsia="仿宋_GB2312" w:cs="仿宋_GB2312"/>
          <w:i w:val="0"/>
          <w:caps w:val="0"/>
          <w:color w:val="000000"/>
          <w:spacing w:val="0"/>
          <w:kern w:val="0"/>
          <w:sz w:val="21"/>
          <w:szCs w:val="21"/>
          <w:lang w:val="en-US" w:eastAsia="zh-CN" w:bidi="ar"/>
        </w:rPr>
        <w:t> </w:t>
      </w:r>
    </w:p>
    <w:p w14:paraId="0B60F531">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2、项目支出：是指在基本支出之外为完成特定行政工作任务和事业发展目标而发生的支出。</w:t>
      </w:r>
      <w:r>
        <w:rPr>
          <w:rFonts w:hint="default" w:ascii="仿宋_GB2312" w:hAnsi="等线" w:eastAsia="仿宋_GB2312" w:cs="仿宋_GB2312"/>
          <w:i w:val="0"/>
          <w:caps w:val="0"/>
          <w:color w:val="000000"/>
          <w:spacing w:val="0"/>
          <w:kern w:val="0"/>
          <w:sz w:val="21"/>
          <w:szCs w:val="21"/>
          <w:lang w:val="en-US" w:eastAsia="zh-CN" w:bidi="ar"/>
        </w:rPr>
        <w:t> </w:t>
      </w:r>
    </w:p>
    <w:p w14:paraId="41DB059F">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hAnsi="等线" w:eastAsia="仿宋_GB2312" w:cs="仿宋_GB2312"/>
          <w:i w:val="0"/>
          <w:caps w:val="0"/>
          <w:color w:val="000000"/>
          <w:spacing w:val="0"/>
          <w:kern w:val="0"/>
          <w:sz w:val="21"/>
          <w:szCs w:val="21"/>
          <w:lang w:val="en-US" w:eastAsia="zh-CN" w:bidi="ar"/>
        </w:rPr>
        <w:t> </w:t>
      </w:r>
    </w:p>
    <w:p w14:paraId="2D4F0C82">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hAnsi="等线" w:eastAsia="仿宋_GB2312" w:cs="仿宋_GB2312"/>
          <w:i w:val="0"/>
          <w:caps w:val="0"/>
          <w:color w:val="000000"/>
          <w:spacing w:val="0"/>
          <w:kern w:val="0"/>
          <w:sz w:val="21"/>
          <w:szCs w:val="21"/>
          <w:lang w:val="en-US" w:eastAsia="zh-CN" w:bidi="ar"/>
        </w:rPr>
        <w:t> </w:t>
      </w:r>
    </w:p>
    <w:p w14:paraId="2EEB1207">
      <w:pPr>
        <w:keepNext w:val="0"/>
        <w:keepLines w:val="0"/>
        <w:widowControl/>
        <w:suppressLineNumbers w:val="0"/>
        <w:spacing w:before="0" w:beforeAutospacing="0" w:after="2" w:afterAutospacing="0"/>
        <w:ind w:left="0" w:right="0" w:firstLine="643"/>
        <w:jc w:val="both"/>
        <w:rPr>
          <w:rFonts w:hint="eastAsia" w:ascii="等线" w:hAnsi="等线" w:eastAsia="等线" w:cs="等线"/>
          <w:i w:val="0"/>
          <w:caps w:val="0"/>
          <w:color w:val="000000"/>
          <w:spacing w:val="0"/>
          <w:sz w:val="21"/>
          <w:szCs w:val="21"/>
        </w:rPr>
      </w:pPr>
      <w:r>
        <w:rPr>
          <w:rFonts w:hint="eastAsia" w:ascii="宋体" w:hAnsi="宋体" w:eastAsia="宋体" w:cs="宋体"/>
          <w:i w:val="0"/>
          <w:caps w:val="0"/>
          <w:color w:val="000000"/>
          <w:spacing w:val="0"/>
          <w:kern w:val="0"/>
          <w:sz w:val="32"/>
          <w:szCs w:val="32"/>
          <w:lang w:val="en-US" w:eastAsia="zh-CN" w:bidi="ar"/>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hAnsi="等线" w:eastAsia="仿宋_GB2312" w:cs="仿宋_GB2312"/>
          <w:i w:val="0"/>
          <w:caps w:val="0"/>
          <w:color w:val="000000"/>
          <w:spacing w:val="0"/>
          <w:kern w:val="0"/>
          <w:sz w:val="21"/>
          <w:szCs w:val="21"/>
          <w:lang w:val="en-US" w:eastAsia="zh-CN" w:bidi="ar"/>
        </w:rPr>
        <w:t> </w:t>
      </w:r>
    </w:p>
    <w:p w14:paraId="53921E85">
      <w:pPr>
        <w:keepNext w:val="0"/>
        <w:keepLines w:val="0"/>
        <w:widowControl/>
        <w:suppressLineNumbers w:val="0"/>
        <w:spacing w:before="0" w:beforeAutospacing="0" w:after="2" w:afterAutospacing="0"/>
        <w:ind w:left="0" w:right="0" w:firstLine="643"/>
        <w:jc w:val="both"/>
        <w:rPr>
          <w:rFonts w:hint="eastAsia" w:ascii="黑体" w:hAnsi="黑体" w:eastAsia="黑体" w:cs="黑体"/>
          <w:i w:val="0"/>
          <w:caps w:val="0"/>
          <w:color w:val="000000"/>
          <w:spacing w:val="0"/>
          <w:kern w:val="0"/>
          <w:sz w:val="32"/>
          <w:szCs w:val="32"/>
          <w:lang w:val="en-US" w:eastAsia="zh-CN" w:bidi="ar"/>
        </w:rPr>
      </w:pPr>
      <w:r>
        <w:rPr>
          <w:rFonts w:hint="default" w:ascii="宋体" w:hAnsi="宋体" w:eastAsia="宋体" w:cs="宋体"/>
          <w:i w:val="0"/>
          <w:caps w:val="0"/>
          <w:color w:val="000000"/>
          <w:spacing w:val="0"/>
          <w:kern w:val="0"/>
          <w:sz w:val="32"/>
          <w:szCs w:val="32"/>
          <w:lang w:val="en-US" w:eastAsia="zh-CN" w:bidi="ar"/>
        </w:rPr>
        <w:t> </w:t>
      </w:r>
    </w:p>
    <w:p w14:paraId="2B1C6561">
      <w:pPr>
        <w:keepNext w:val="0"/>
        <w:keepLines w:val="0"/>
        <w:widowControl/>
        <w:suppressLineNumbers w:val="0"/>
        <w:spacing w:before="0" w:beforeAutospacing="0" w:after="2" w:afterAutospacing="0"/>
        <w:ind w:left="0" w:right="0" w:firstLine="643"/>
        <w:jc w:val="center"/>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第二部分 2025年部门预算表</w:t>
      </w:r>
    </w:p>
    <w:p w14:paraId="7EC6FB3B">
      <w:pPr>
        <w:keepNext w:val="0"/>
        <w:keepLines w:val="0"/>
        <w:widowControl/>
        <w:suppressLineNumbers w:val="0"/>
        <w:spacing w:before="0" w:beforeAutospacing="0" w:after="2" w:afterAutospacing="0"/>
        <w:ind w:left="0" w:right="0" w:firstLine="643"/>
        <w:jc w:val="center"/>
        <w:rPr>
          <w:rStyle w:val="5"/>
          <w:rFonts w:hint="eastAsia" w:ascii="宋体" w:hAnsi="宋体" w:eastAsia="宋体" w:cs="宋体"/>
          <w:i w:val="0"/>
          <w:caps w:val="0"/>
          <w:spacing w:val="0"/>
          <w:sz w:val="27"/>
          <w:szCs w:val="27"/>
        </w:rPr>
      </w:pPr>
      <w:r>
        <w:rPr>
          <w:rFonts w:hint="eastAsia" w:ascii="宋体" w:hAnsi="宋体" w:eastAsia="宋体" w:cs="宋体"/>
          <w:i w:val="0"/>
          <w:caps w:val="0"/>
          <w:color w:val="000000"/>
          <w:spacing w:val="0"/>
          <w:kern w:val="0"/>
          <w:sz w:val="32"/>
          <w:szCs w:val="32"/>
          <w:u w:val="none"/>
          <w:lang w:val="en-US" w:eastAsia="zh-CN" w:bidi="ar"/>
        </w:rPr>
        <w:fldChar w:fldCharType="begin"/>
      </w:r>
      <w:r>
        <w:rPr>
          <w:rFonts w:hint="eastAsia" w:ascii="宋体" w:hAnsi="宋体" w:eastAsia="宋体" w:cs="宋体"/>
          <w:i w:val="0"/>
          <w:caps w:val="0"/>
          <w:color w:val="000000"/>
          <w:spacing w:val="0"/>
          <w:kern w:val="0"/>
          <w:sz w:val="32"/>
          <w:szCs w:val="32"/>
          <w:u w:val="none"/>
          <w:lang w:val="en-US" w:eastAsia="zh-CN" w:bidi="ar"/>
        </w:rPr>
        <w:instrText xml:space="preserve"> HYPERLINK "文昌街道2025年部门预算公开表(50).xlsx" </w:instrText>
      </w:r>
      <w:r>
        <w:rPr>
          <w:rFonts w:hint="eastAsia" w:ascii="宋体" w:hAnsi="宋体" w:eastAsia="宋体" w:cs="宋体"/>
          <w:i w:val="0"/>
          <w:caps w:val="0"/>
          <w:color w:val="000000"/>
          <w:spacing w:val="0"/>
          <w:kern w:val="0"/>
          <w:sz w:val="32"/>
          <w:szCs w:val="32"/>
          <w:u w:val="none"/>
          <w:lang w:val="en-US" w:eastAsia="zh-CN" w:bidi="ar"/>
        </w:rPr>
        <w:fldChar w:fldCharType="separate"/>
      </w:r>
      <w:r>
        <w:rPr>
          <w:rStyle w:val="5"/>
          <w:rFonts w:hint="eastAsia" w:ascii="宋体" w:hAnsi="宋体" w:eastAsia="宋体" w:cs="宋体"/>
          <w:i w:val="0"/>
          <w:caps w:val="0"/>
          <w:spacing w:val="0"/>
          <w:kern w:val="0"/>
          <w:sz w:val="32"/>
          <w:szCs w:val="32"/>
          <w:lang w:val="en-US" w:eastAsia="zh-CN" w:bidi="ar"/>
        </w:rPr>
        <w:t>2025年</w:t>
      </w:r>
      <w:bookmarkStart w:id="0" w:name="_GoBack"/>
      <w:bookmarkEnd w:id="0"/>
      <w:r>
        <w:rPr>
          <w:rStyle w:val="5"/>
          <w:rFonts w:hint="eastAsia" w:ascii="宋体" w:hAnsi="宋体" w:eastAsia="宋体" w:cs="宋体"/>
          <w:i w:val="0"/>
          <w:caps w:val="0"/>
          <w:spacing w:val="0"/>
          <w:kern w:val="0"/>
          <w:sz w:val="32"/>
          <w:szCs w:val="32"/>
          <w:lang w:val="en-US" w:eastAsia="zh-CN" w:bidi="ar"/>
        </w:rPr>
        <w:t>部门预算公开表.xlsx</w:t>
      </w:r>
    </w:p>
    <w:p w14:paraId="59B50258">
      <w:pPr>
        <w:pStyle w:val="2"/>
        <w:keepNext w:val="0"/>
        <w:keepLines w:val="0"/>
        <w:widowControl/>
        <w:suppressLineNumbers w:val="0"/>
        <w:spacing w:before="0" w:beforeAutospacing="0" w:after="2" w:afterAutospacing="0"/>
        <w:ind w:left="0" w:right="0" w:firstLine="0"/>
        <w:jc w:val="both"/>
        <w:rPr>
          <w:rFonts w:hint="eastAsia" w:ascii="宋体" w:hAnsi="宋体" w:eastAsia="宋体" w:cs="宋体"/>
          <w:i w:val="0"/>
          <w:caps w:val="0"/>
          <w:color w:val="000000"/>
          <w:spacing w:val="0"/>
          <w:sz w:val="27"/>
          <w:szCs w:val="27"/>
        </w:rPr>
      </w:pPr>
      <w:r>
        <w:rPr>
          <w:rFonts w:hint="eastAsia" w:ascii="宋体" w:hAnsi="宋体" w:eastAsia="宋体" w:cs="宋体"/>
          <w:i w:val="0"/>
          <w:caps w:val="0"/>
          <w:color w:val="000000"/>
          <w:spacing w:val="0"/>
          <w:kern w:val="0"/>
          <w:sz w:val="32"/>
          <w:szCs w:val="32"/>
          <w:u w:val="none"/>
          <w:lang w:val="en-US" w:eastAsia="zh-CN" w:bidi="ar"/>
        </w:rPr>
        <w:fldChar w:fldCharType="end"/>
      </w:r>
      <w:r>
        <w:rPr>
          <w:rFonts w:hint="eastAsia" w:ascii="宋体" w:hAnsi="宋体" w:eastAsia="宋体" w:cs="宋体"/>
          <w:i w:val="0"/>
          <w:caps w:val="0"/>
          <w:color w:val="000000"/>
          <w:spacing w:val="0"/>
          <w:sz w:val="24"/>
          <w:szCs w:val="24"/>
        </w:rPr>
        <w:t> </w:t>
      </w:r>
    </w:p>
    <w:p w14:paraId="7A8CA2CB">
      <w:pPr>
        <w:keepNext w:val="0"/>
        <w:keepLines w:val="0"/>
        <w:widowControl/>
        <w:suppressLineNumbers w:val="0"/>
        <w:spacing w:before="0" w:beforeAutospacing="0" w:after="2" w:afterAutospacing="0"/>
        <w:ind w:left="0" w:right="0" w:firstLine="660"/>
        <w:jc w:val="both"/>
      </w:pPr>
      <w:r>
        <w:rPr>
          <w:rFonts w:hint="default" w:ascii="仿宋_GB2312" w:hAnsi="等线" w:eastAsia="仿宋_GB2312" w:cs="仿宋_GB2312"/>
          <w:i w:val="0"/>
          <w:caps w:val="0"/>
          <w:color w:val="000000"/>
          <w:spacing w:val="0"/>
          <w:kern w:val="0"/>
          <w:sz w:val="21"/>
          <w:szCs w:val="21"/>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A0110"/>
    <w:rsid w:val="FBBFD66D"/>
    <w:rsid w:val="FCAAF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dk001</cp:lastModifiedBy>
  <dcterms:modified xsi:type="dcterms:W3CDTF">2025-07-14T08:30:29Z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D2C0074862DCDAFC614F7468A2D8E437_42</vt:lpwstr>
  </property>
</Properties>
</file>